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EA0" w:rsidRDefault="00155EA0">
      <w:pPr>
        <w:jc w:val="center"/>
        <w:rPr>
          <w:rFonts w:ascii="宋体" w:hAnsi="宋体" w:hint="eastAsia"/>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9549C5">
      <w:pPr>
        <w:ind w:firstLine="880"/>
        <w:jc w:val="center"/>
        <w:rPr>
          <w:rFonts w:ascii="宋体" w:hAnsi="宋体"/>
          <w:sz w:val="44"/>
          <w:szCs w:val="44"/>
        </w:rPr>
      </w:pPr>
      <w:r>
        <w:rPr>
          <w:rFonts w:ascii="宋体" w:hAnsi="宋体" w:hint="eastAsia"/>
          <w:sz w:val="44"/>
          <w:szCs w:val="44"/>
        </w:rPr>
        <w:t>江苏省地方标准</w:t>
      </w:r>
    </w:p>
    <w:p w:rsidR="00155EA0" w:rsidRDefault="009549C5">
      <w:pPr>
        <w:ind w:firstLine="880"/>
        <w:jc w:val="center"/>
        <w:rPr>
          <w:rFonts w:ascii="宋体" w:hAnsi="宋体"/>
          <w:sz w:val="44"/>
          <w:szCs w:val="44"/>
        </w:rPr>
      </w:pPr>
      <w:r>
        <w:rPr>
          <w:rFonts w:ascii="宋体" w:hAnsi="宋体" w:hint="eastAsia"/>
          <w:sz w:val="44"/>
          <w:szCs w:val="44"/>
        </w:rPr>
        <w:t>《</w:t>
      </w:r>
      <w:bookmarkStart w:id="0" w:name="_Hlk153470754"/>
      <w:r>
        <w:rPr>
          <w:rFonts w:ascii="宋体" w:hAnsi="宋体" w:hint="eastAsia"/>
          <w:sz w:val="44"/>
          <w:szCs w:val="44"/>
        </w:rPr>
        <w:t>区块链平台通用选型规范</w:t>
      </w:r>
      <w:bookmarkEnd w:id="0"/>
      <w:r>
        <w:rPr>
          <w:rFonts w:ascii="宋体" w:hAnsi="宋体" w:hint="eastAsia"/>
          <w:sz w:val="44"/>
          <w:szCs w:val="44"/>
        </w:rPr>
        <w:t>》</w:t>
      </w:r>
    </w:p>
    <w:p w:rsidR="00155EA0" w:rsidRDefault="009549C5">
      <w:pPr>
        <w:ind w:firstLine="880"/>
        <w:jc w:val="center"/>
        <w:rPr>
          <w:rFonts w:ascii="宋体" w:hAnsi="宋体"/>
          <w:sz w:val="44"/>
          <w:szCs w:val="44"/>
        </w:rPr>
      </w:pPr>
      <w:r>
        <w:rPr>
          <w:rFonts w:ascii="宋体" w:hAnsi="宋体" w:hint="eastAsia"/>
          <w:sz w:val="44"/>
          <w:szCs w:val="44"/>
        </w:rPr>
        <w:t>编制说明</w:t>
      </w:r>
    </w:p>
    <w:p w:rsidR="00155EA0" w:rsidRDefault="00155EA0">
      <w:pPr>
        <w:ind w:firstLine="880"/>
        <w:jc w:val="center"/>
        <w:rPr>
          <w:rFonts w:ascii="宋体" w:hAnsi="宋体"/>
          <w:sz w:val="44"/>
          <w:szCs w:val="44"/>
        </w:rPr>
      </w:pPr>
    </w:p>
    <w:p w:rsidR="00155EA0" w:rsidRDefault="00155EA0">
      <w:pPr>
        <w:ind w:firstLine="880"/>
        <w:jc w:val="center"/>
        <w:rPr>
          <w:rFonts w:ascii="宋体" w:hAnsi="宋体"/>
          <w:sz w:val="44"/>
          <w:szCs w:val="44"/>
        </w:rPr>
      </w:pPr>
    </w:p>
    <w:p w:rsidR="00155EA0" w:rsidRDefault="00155EA0">
      <w:pPr>
        <w:ind w:firstLine="880"/>
        <w:jc w:val="center"/>
        <w:rPr>
          <w:rFonts w:ascii="宋体" w:hAnsi="宋体"/>
          <w:sz w:val="44"/>
          <w:szCs w:val="44"/>
        </w:rPr>
      </w:pPr>
    </w:p>
    <w:p w:rsidR="00155EA0" w:rsidRDefault="00155EA0">
      <w:pPr>
        <w:ind w:firstLine="880"/>
        <w:jc w:val="center"/>
        <w:rPr>
          <w:rFonts w:ascii="宋体" w:hAnsi="宋体"/>
          <w:sz w:val="44"/>
          <w:szCs w:val="44"/>
        </w:rPr>
      </w:pPr>
    </w:p>
    <w:p w:rsidR="00155EA0" w:rsidRDefault="009549C5">
      <w:pPr>
        <w:jc w:val="center"/>
        <w:rPr>
          <w:rFonts w:ascii="宋体" w:hAnsi="宋体"/>
          <w:sz w:val="32"/>
          <w:szCs w:val="32"/>
        </w:rPr>
      </w:pPr>
      <w:r>
        <w:rPr>
          <w:rFonts w:ascii="宋体" w:hAnsi="宋体" w:hint="eastAsia"/>
          <w:sz w:val="32"/>
          <w:szCs w:val="32"/>
        </w:rPr>
        <w:t>标准编制组</w:t>
      </w:r>
    </w:p>
    <w:p w:rsidR="00155EA0" w:rsidRDefault="009549C5">
      <w:pPr>
        <w:jc w:val="center"/>
        <w:rPr>
          <w:rFonts w:ascii="宋体" w:hAnsi="宋体"/>
          <w:sz w:val="32"/>
          <w:szCs w:val="32"/>
        </w:rPr>
      </w:pPr>
      <w:r>
        <w:rPr>
          <w:rFonts w:ascii="宋体" w:hAnsi="宋体" w:hint="eastAsia"/>
          <w:sz w:val="32"/>
          <w:szCs w:val="32"/>
        </w:rPr>
        <w:t>202</w:t>
      </w:r>
      <w:r>
        <w:rPr>
          <w:rFonts w:ascii="宋体" w:hAnsi="宋体"/>
          <w:sz w:val="32"/>
          <w:szCs w:val="32"/>
        </w:rPr>
        <w:t>3</w:t>
      </w:r>
      <w:r>
        <w:rPr>
          <w:rFonts w:ascii="宋体" w:hAnsi="宋体" w:hint="eastAsia"/>
          <w:sz w:val="32"/>
          <w:szCs w:val="32"/>
        </w:rPr>
        <w:t>年1</w:t>
      </w:r>
      <w:r>
        <w:rPr>
          <w:rFonts w:ascii="宋体" w:hAnsi="宋体"/>
          <w:sz w:val="32"/>
          <w:szCs w:val="32"/>
        </w:rPr>
        <w:t>2</w:t>
      </w:r>
      <w:r>
        <w:rPr>
          <w:rFonts w:ascii="宋体" w:hAnsi="宋体" w:hint="eastAsia"/>
          <w:sz w:val="32"/>
          <w:szCs w:val="32"/>
        </w:rPr>
        <w:t>月</w:t>
      </w: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155EA0">
      <w:pPr>
        <w:jc w:val="center"/>
        <w:rPr>
          <w:rFonts w:ascii="宋体" w:hAnsi="宋体"/>
          <w:sz w:val="32"/>
          <w:szCs w:val="32"/>
        </w:rPr>
      </w:pPr>
    </w:p>
    <w:p w:rsidR="00155EA0" w:rsidRDefault="009549C5">
      <w:pPr>
        <w:spacing w:line="240" w:lineRule="auto"/>
        <w:ind w:firstLineChars="0" w:firstLine="0"/>
        <w:jc w:val="center"/>
        <w:rPr>
          <w:rFonts w:ascii="宋体" w:hAnsi="宋体"/>
          <w:sz w:val="40"/>
          <w:szCs w:val="36"/>
        </w:rPr>
      </w:pPr>
      <w:bookmarkStart w:id="1" w:name="_Toc11377"/>
      <w:r>
        <w:rPr>
          <w:rFonts w:ascii="宋体" w:hAnsi="宋体"/>
          <w:szCs w:val="36"/>
        </w:rPr>
        <w:lastRenderedPageBreak/>
        <w:t>目</w:t>
      </w:r>
      <w:r>
        <w:rPr>
          <w:rFonts w:ascii="宋体" w:hAnsi="宋体" w:hint="eastAsia"/>
          <w:szCs w:val="36"/>
        </w:rPr>
        <w:t xml:space="preserve"> </w:t>
      </w:r>
      <w:r>
        <w:rPr>
          <w:rFonts w:ascii="宋体" w:hAnsi="宋体"/>
          <w:szCs w:val="36"/>
        </w:rPr>
        <w:t>录</w:t>
      </w:r>
    </w:p>
    <w:p w:rsidR="00155EA0" w:rsidRDefault="009549C5">
      <w:pPr>
        <w:pStyle w:val="TOC1"/>
        <w:tabs>
          <w:tab w:val="right" w:leader="dot" w:pos="8296"/>
        </w:tabs>
        <w:ind w:firstLine="482"/>
        <w:rPr>
          <w:b w:val="0"/>
          <w:bCs w:val="0"/>
          <w:caps w:val="0"/>
          <w:sz w:val="21"/>
          <w:szCs w:val="22"/>
        </w:rPr>
      </w:pPr>
      <w:r>
        <w:rPr>
          <w:rFonts w:ascii="宋体" w:hAnsi="宋体"/>
          <w:sz w:val="24"/>
          <w:szCs w:val="24"/>
        </w:rPr>
        <w:fldChar w:fldCharType="begin"/>
      </w:r>
      <w:r>
        <w:rPr>
          <w:rFonts w:ascii="宋体" w:hAnsi="宋体"/>
          <w:sz w:val="24"/>
          <w:szCs w:val="24"/>
        </w:rPr>
        <w:instrText xml:space="preserve">TOC \o "1-3" \h \u </w:instrText>
      </w:r>
      <w:r>
        <w:rPr>
          <w:rFonts w:ascii="宋体" w:hAnsi="宋体"/>
          <w:sz w:val="24"/>
          <w:szCs w:val="24"/>
        </w:rPr>
        <w:fldChar w:fldCharType="separate"/>
      </w:r>
      <w:hyperlink w:anchor="_Toc145343478" w:history="1">
        <w:r>
          <w:rPr>
            <w:rStyle w:val="afffc"/>
            <w:rFonts w:ascii="宋体" w:hAnsi="宋体"/>
          </w:rPr>
          <w:t>1.</w:t>
        </w:r>
        <w:r>
          <w:rPr>
            <w:rStyle w:val="afffc"/>
            <w:rFonts w:ascii="宋体" w:hAnsi="宋体" w:hint="eastAsia"/>
          </w:rPr>
          <w:t>项目背景</w:t>
        </w:r>
        <w:r>
          <w:tab/>
        </w:r>
        <w:r>
          <w:fldChar w:fldCharType="begin"/>
        </w:r>
        <w:r>
          <w:instrText xml:space="preserve"> PAGEREF _Toc145343478 \h </w:instrText>
        </w:r>
        <w:r>
          <w:fldChar w:fldCharType="separate"/>
        </w:r>
        <w:r>
          <w:t>1</w:t>
        </w:r>
        <w:r>
          <w:fldChar w:fldCharType="end"/>
        </w:r>
      </w:hyperlink>
    </w:p>
    <w:p w:rsidR="00155EA0" w:rsidRDefault="00F873CB">
      <w:pPr>
        <w:pStyle w:val="TOC2"/>
        <w:tabs>
          <w:tab w:val="right" w:leader="dot" w:pos="8296"/>
        </w:tabs>
        <w:ind w:firstLine="400"/>
        <w:rPr>
          <w:smallCaps w:val="0"/>
          <w:sz w:val="21"/>
          <w:szCs w:val="22"/>
        </w:rPr>
      </w:pPr>
      <w:hyperlink w:anchor="_Toc145343479" w:history="1">
        <w:r w:rsidR="009549C5">
          <w:rPr>
            <w:rStyle w:val="afffc"/>
            <w:rFonts w:ascii="宋体" w:hAnsi="宋体"/>
          </w:rPr>
          <w:t>1.1</w:t>
        </w:r>
        <w:r w:rsidR="009549C5">
          <w:rPr>
            <w:rStyle w:val="afffc"/>
            <w:rFonts w:ascii="宋体" w:hAnsi="宋体" w:hint="eastAsia"/>
          </w:rPr>
          <w:t>协作单位和主要起草人</w:t>
        </w:r>
        <w:r w:rsidR="009549C5">
          <w:tab/>
        </w:r>
        <w:r w:rsidR="009549C5">
          <w:fldChar w:fldCharType="begin"/>
        </w:r>
        <w:r w:rsidR="009549C5">
          <w:instrText xml:space="preserve"> PAGEREF _Toc145343479 \h </w:instrText>
        </w:r>
        <w:r w:rsidR="009549C5">
          <w:fldChar w:fldCharType="separate"/>
        </w:r>
        <w:r w:rsidR="009549C5">
          <w:t>2</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0" w:history="1">
        <w:r w:rsidR="009549C5">
          <w:rPr>
            <w:rStyle w:val="afffc"/>
            <w:rFonts w:ascii="宋体" w:hAnsi="宋体"/>
          </w:rPr>
          <w:t>1.2</w:t>
        </w:r>
        <w:r w:rsidR="009549C5">
          <w:rPr>
            <w:rStyle w:val="afffc"/>
            <w:rFonts w:ascii="宋体" w:hAnsi="宋体" w:hint="eastAsia"/>
          </w:rPr>
          <w:t>工作过程</w:t>
        </w:r>
        <w:r w:rsidR="009549C5">
          <w:tab/>
        </w:r>
        <w:r w:rsidR="009549C5">
          <w:fldChar w:fldCharType="begin"/>
        </w:r>
        <w:r w:rsidR="009549C5">
          <w:instrText xml:space="preserve"> PAGEREF _Toc145343480 \h </w:instrText>
        </w:r>
        <w:r w:rsidR="009549C5">
          <w:fldChar w:fldCharType="separate"/>
        </w:r>
        <w:r w:rsidR="009549C5">
          <w:t>3</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81" w:history="1">
        <w:r w:rsidR="009549C5">
          <w:rPr>
            <w:rStyle w:val="afffc"/>
            <w:rFonts w:ascii="宋体" w:hAnsi="宋体"/>
          </w:rPr>
          <w:t>2.</w:t>
        </w:r>
        <w:r w:rsidR="009549C5">
          <w:rPr>
            <w:rStyle w:val="afffc"/>
            <w:rFonts w:ascii="宋体" w:hAnsi="宋体" w:hint="eastAsia"/>
          </w:rPr>
          <w:t>标准编制必要性和可行性分析</w:t>
        </w:r>
        <w:r w:rsidR="009549C5">
          <w:tab/>
        </w:r>
        <w:r w:rsidR="009549C5">
          <w:fldChar w:fldCharType="begin"/>
        </w:r>
        <w:r w:rsidR="009549C5">
          <w:instrText xml:space="preserve"> PAGEREF _Toc145343481 \h </w:instrText>
        </w:r>
        <w:r w:rsidR="009549C5">
          <w:fldChar w:fldCharType="separate"/>
        </w:r>
        <w:r w:rsidR="009549C5">
          <w:t>6</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2" w:history="1">
        <w:r w:rsidR="009549C5">
          <w:rPr>
            <w:rStyle w:val="afffc"/>
            <w:rFonts w:ascii="宋体" w:hAnsi="宋体"/>
          </w:rPr>
          <w:t>2.1</w:t>
        </w:r>
        <w:r w:rsidR="009549C5">
          <w:rPr>
            <w:rStyle w:val="afffc"/>
            <w:rFonts w:ascii="宋体" w:hAnsi="宋体" w:hint="eastAsia"/>
          </w:rPr>
          <w:t>必要性</w:t>
        </w:r>
        <w:r w:rsidR="009549C5">
          <w:tab/>
        </w:r>
        <w:r w:rsidR="009549C5">
          <w:fldChar w:fldCharType="begin"/>
        </w:r>
        <w:r w:rsidR="009549C5">
          <w:instrText xml:space="preserve"> PAGEREF _Toc145343482 \h </w:instrText>
        </w:r>
        <w:r w:rsidR="009549C5">
          <w:fldChar w:fldCharType="separate"/>
        </w:r>
        <w:r w:rsidR="009549C5">
          <w:t>6</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3" w:history="1">
        <w:r w:rsidR="009549C5">
          <w:rPr>
            <w:rStyle w:val="afffc"/>
            <w:rFonts w:ascii="宋体" w:hAnsi="宋体"/>
          </w:rPr>
          <w:t>2.2</w:t>
        </w:r>
        <w:r w:rsidR="009549C5">
          <w:rPr>
            <w:rStyle w:val="afffc"/>
            <w:rFonts w:ascii="宋体" w:hAnsi="宋体" w:hint="eastAsia"/>
          </w:rPr>
          <w:t>可行性</w:t>
        </w:r>
        <w:r w:rsidR="009549C5">
          <w:tab/>
        </w:r>
        <w:r w:rsidR="009549C5">
          <w:fldChar w:fldCharType="begin"/>
        </w:r>
        <w:r w:rsidR="009549C5">
          <w:instrText xml:space="preserve"> PAGEREF _Toc145343483 \h </w:instrText>
        </w:r>
        <w:r w:rsidR="009549C5">
          <w:fldChar w:fldCharType="separate"/>
        </w:r>
        <w:r w:rsidR="009549C5">
          <w:t>6</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84" w:history="1">
        <w:r w:rsidR="009549C5">
          <w:rPr>
            <w:rStyle w:val="afffc"/>
            <w:rFonts w:ascii="宋体" w:hAnsi="宋体"/>
          </w:rPr>
          <w:t>3.</w:t>
        </w:r>
        <w:r w:rsidR="009549C5">
          <w:rPr>
            <w:rStyle w:val="afffc"/>
            <w:rFonts w:ascii="宋体" w:hAnsi="宋体" w:hint="eastAsia"/>
          </w:rPr>
          <w:t>国内外研究情况</w:t>
        </w:r>
        <w:r w:rsidR="009549C5">
          <w:tab/>
        </w:r>
        <w:r w:rsidR="009549C5">
          <w:fldChar w:fldCharType="begin"/>
        </w:r>
        <w:r w:rsidR="009549C5">
          <w:instrText xml:space="preserve"> PAGEREF _Toc145343484 \h </w:instrText>
        </w:r>
        <w:r w:rsidR="009549C5">
          <w:fldChar w:fldCharType="separate"/>
        </w:r>
        <w:r w:rsidR="009549C5">
          <w:t>8</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85" w:history="1">
        <w:r w:rsidR="009549C5">
          <w:rPr>
            <w:rStyle w:val="afffc"/>
            <w:rFonts w:ascii="宋体" w:hAnsi="宋体"/>
          </w:rPr>
          <w:t>4.</w:t>
        </w:r>
        <w:r w:rsidR="009549C5">
          <w:rPr>
            <w:rStyle w:val="afffc"/>
            <w:rFonts w:ascii="宋体" w:hAnsi="宋体" w:hint="eastAsia"/>
          </w:rPr>
          <w:t>调研情况分析</w:t>
        </w:r>
        <w:r w:rsidR="009549C5">
          <w:tab/>
        </w:r>
        <w:r w:rsidR="009549C5">
          <w:fldChar w:fldCharType="begin"/>
        </w:r>
        <w:r w:rsidR="009549C5">
          <w:instrText xml:space="preserve"> PAGEREF _Toc145343485 \h </w:instrText>
        </w:r>
        <w:r w:rsidR="009549C5">
          <w:fldChar w:fldCharType="separate"/>
        </w:r>
        <w:r w:rsidR="009549C5">
          <w:t>9</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6" w:history="1">
        <w:r w:rsidR="009549C5">
          <w:rPr>
            <w:rStyle w:val="afffc"/>
            <w:rFonts w:ascii="宋体" w:hAnsi="宋体"/>
          </w:rPr>
          <w:t xml:space="preserve">4.1 </w:t>
        </w:r>
        <w:r w:rsidR="009549C5">
          <w:rPr>
            <w:rStyle w:val="afffc"/>
            <w:rFonts w:ascii="宋体" w:hAnsi="宋体" w:hint="eastAsia"/>
          </w:rPr>
          <w:t>调研方式</w:t>
        </w:r>
        <w:r w:rsidR="009549C5">
          <w:tab/>
        </w:r>
        <w:r w:rsidR="009549C5">
          <w:fldChar w:fldCharType="begin"/>
        </w:r>
        <w:r w:rsidR="009549C5">
          <w:instrText xml:space="preserve"> PAGEREF _Toc145343486 \h </w:instrText>
        </w:r>
        <w:r w:rsidR="009549C5">
          <w:fldChar w:fldCharType="separate"/>
        </w:r>
        <w:r w:rsidR="009549C5">
          <w:t>9</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7" w:history="1">
        <w:r w:rsidR="009549C5">
          <w:rPr>
            <w:rStyle w:val="afffc"/>
            <w:rFonts w:ascii="宋体" w:hAnsi="宋体"/>
          </w:rPr>
          <w:t xml:space="preserve">4.2 </w:t>
        </w:r>
        <w:r w:rsidR="009549C5">
          <w:rPr>
            <w:rStyle w:val="afffc"/>
            <w:rFonts w:ascii="宋体" w:hAnsi="宋体" w:hint="eastAsia"/>
          </w:rPr>
          <w:t>调研主要文件</w:t>
        </w:r>
        <w:r w:rsidR="009549C5">
          <w:tab/>
        </w:r>
        <w:r w:rsidR="009549C5">
          <w:fldChar w:fldCharType="begin"/>
        </w:r>
        <w:r w:rsidR="009549C5">
          <w:instrText xml:space="preserve"> PAGEREF _Toc145343487 \h </w:instrText>
        </w:r>
        <w:r w:rsidR="009549C5">
          <w:fldChar w:fldCharType="separate"/>
        </w:r>
        <w:r w:rsidR="009549C5">
          <w:t>9</w:t>
        </w:r>
        <w:r w:rsidR="009549C5">
          <w:fldChar w:fldCharType="end"/>
        </w:r>
      </w:hyperlink>
    </w:p>
    <w:p w:rsidR="00155EA0" w:rsidRDefault="00F873CB">
      <w:pPr>
        <w:pStyle w:val="TOC2"/>
        <w:tabs>
          <w:tab w:val="right" w:leader="dot" w:pos="8296"/>
        </w:tabs>
        <w:ind w:firstLine="400"/>
        <w:rPr>
          <w:smallCaps w:val="0"/>
          <w:sz w:val="21"/>
          <w:szCs w:val="22"/>
        </w:rPr>
      </w:pPr>
      <w:hyperlink w:anchor="_Toc145343488" w:history="1">
        <w:r w:rsidR="009549C5">
          <w:rPr>
            <w:rStyle w:val="afffc"/>
            <w:rFonts w:ascii="宋体" w:hAnsi="宋体"/>
          </w:rPr>
          <w:t xml:space="preserve">4.3 </w:t>
        </w:r>
        <w:r w:rsidR="009549C5">
          <w:rPr>
            <w:rStyle w:val="afffc"/>
            <w:rFonts w:ascii="宋体" w:hAnsi="宋体" w:hint="eastAsia"/>
          </w:rPr>
          <w:t>调研成效</w:t>
        </w:r>
        <w:r w:rsidR="009549C5">
          <w:tab/>
        </w:r>
        <w:r w:rsidR="009549C5">
          <w:fldChar w:fldCharType="begin"/>
        </w:r>
        <w:r w:rsidR="009549C5">
          <w:instrText xml:space="preserve"> PAGEREF _Toc145343488 \h </w:instrText>
        </w:r>
        <w:r w:rsidR="009549C5">
          <w:fldChar w:fldCharType="separate"/>
        </w:r>
        <w:r w:rsidR="009549C5">
          <w:t>13</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89" w:history="1">
        <w:r w:rsidR="009549C5">
          <w:rPr>
            <w:rStyle w:val="afffc"/>
            <w:rFonts w:ascii="宋体" w:hAnsi="宋体"/>
          </w:rPr>
          <w:t>5.</w:t>
        </w:r>
        <w:r w:rsidR="009549C5">
          <w:rPr>
            <w:rStyle w:val="afffc"/>
            <w:rFonts w:ascii="宋体" w:hAnsi="宋体" w:hint="eastAsia"/>
          </w:rPr>
          <w:t>标准编制原则和依据</w:t>
        </w:r>
        <w:r w:rsidR="009549C5">
          <w:tab/>
        </w:r>
        <w:r w:rsidR="009549C5">
          <w:fldChar w:fldCharType="begin"/>
        </w:r>
        <w:r w:rsidR="009549C5">
          <w:instrText xml:space="preserve"> PAGEREF _Toc145343489 \h </w:instrText>
        </w:r>
        <w:r w:rsidR="009549C5">
          <w:fldChar w:fldCharType="separate"/>
        </w:r>
        <w:r w:rsidR="009549C5">
          <w:t>14</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0" w:history="1">
        <w:r w:rsidR="009549C5">
          <w:rPr>
            <w:rStyle w:val="afffc"/>
            <w:rFonts w:ascii="宋体" w:hAnsi="宋体"/>
          </w:rPr>
          <w:t>5.1</w:t>
        </w:r>
        <w:r w:rsidR="009549C5">
          <w:rPr>
            <w:rStyle w:val="afffc"/>
            <w:rFonts w:ascii="宋体" w:hAnsi="宋体" w:hint="eastAsia"/>
          </w:rPr>
          <w:t>编制原则</w:t>
        </w:r>
        <w:r w:rsidR="009549C5">
          <w:tab/>
        </w:r>
        <w:r w:rsidR="009549C5">
          <w:fldChar w:fldCharType="begin"/>
        </w:r>
        <w:r w:rsidR="009549C5">
          <w:instrText xml:space="preserve"> PAGEREF _Toc145343490 \h </w:instrText>
        </w:r>
        <w:r w:rsidR="009549C5">
          <w:fldChar w:fldCharType="separate"/>
        </w:r>
        <w:r w:rsidR="009549C5">
          <w:t>14</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1" w:history="1">
        <w:r w:rsidR="009549C5">
          <w:rPr>
            <w:rStyle w:val="afffc"/>
            <w:rFonts w:ascii="宋体" w:hAnsi="宋体"/>
          </w:rPr>
          <w:t>4.2</w:t>
        </w:r>
        <w:r w:rsidR="009549C5">
          <w:rPr>
            <w:rStyle w:val="afffc"/>
            <w:rFonts w:ascii="宋体" w:hAnsi="宋体" w:hint="eastAsia"/>
          </w:rPr>
          <w:t>编制依据</w:t>
        </w:r>
        <w:r w:rsidR="009549C5">
          <w:tab/>
        </w:r>
        <w:r w:rsidR="009549C5">
          <w:fldChar w:fldCharType="begin"/>
        </w:r>
        <w:r w:rsidR="009549C5">
          <w:instrText xml:space="preserve"> PAGEREF _Toc145343491 \h </w:instrText>
        </w:r>
        <w:r w:rsidR="009549C5">
          <w:fldChar w:fldCharType="separate"/>
        </w:r>
        <w:r w:rsidR="009549C5">
          <w:t>15</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92" w:history="1">
        <w:r w:rsidR="009549C5">
          <w:rPr>
            <w:rStyle w:val="afffc"/>
            <w:rFonts w:ascii="宋体" w:hAnsi="宋体"/>
          </w:rPr>
          <w:t>6.</w:t>
        </w:r>
        <w:r w:rsidR="009549C5">
          <w:rPr>
            <w:rStyle w:val="afffc"/>
            <w:rFonts w:ascii="宋体" w:hAnsi="宋体" w:hint="eastAsia"/>
          </w:rPr>
          <w:t xml:space="preserve"> 编制思路和工作程序</w:t>
        </w:r>
        <w:r w:rsidR="009549C5">
          <w:tab/>
        </w:r>
        <w:r w:rsidR="009549C5">
          <w:fldChar w:fldCharType="begin"/>
        </w:r>
        <w:r w:rsidR="009549C5">
          <w:instrText xml:space="preserve"> PAGEREF _Toc145343492 \h </w:instrText>
        </w:r>
        <w:r w:rsidR="009549C5">
          <w:fldChar w:fldCharType="separate"/>
        </w:r>
        <w:r w:rsidR="009549C5">
          <w:t>19</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3" w:history="1">
        <w:r w:rsidR="009549C5">
          <w:rPr>
            <w:rStyle w:val="afffc"/>
            <w:rFonts w:ascii="宋体" w:hAnsi="宋体"/>
          </w:rPr>
          <w:t>6.1</w:t>
        </w:r>
        <w:r w:rsidR="009549C5">
          <w:rPr>
            <w:rStyle w:val="afffc"/>
            <w:rFonts w:ascii="宋体" w:hAnsi="宋体" w:hint="eastAsia"/>
          </w:rPr>
          <w:t>编制思路</w:t>
        </w:r>
        <w:r w:rsidR="009549C5">
          <w:tab/>
        </w:r>
        <w:r w:rsidR="009549C5">
          <w:fldChar w:fldCharType="begin"/>
        </w:r>
        <w:r w:rsidR="009549C5">
          <w:instrText xml:space="preserve"> PAGEREF _Toc145343493 \h </w:instrText>
        </w:r>
        <w:r w:rsidR="009549C5">
          <w:fldChar w:fldCharType="separate"/>
        </w:r>
        <w:r w:rsidR="009549C5">
          <w:t>19</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4" w:history="1">
        <w:r w:rsidR="009549C5">
          <w:rPr>
            <w:rStyle w:val="afffc"/>
            <w:rFonts w:ascii="宋体" w:hAnsi="宋体"/>
          </w:rPr>
          <w:t xml:space="preserve">6.2 </w:t>
        </w:r>
        <w:r w:rsidR="009549C5">
          <w:rPr>
            <w:rStyle w:val="afffc"/>
            <w:rFonts w:ascii="宋体" w:hAnsi="宋体" w:hint="eastAsia"/>
          </w:rPr>
          <w:t>工作程序</w:t>
        </w:r>
        <w:r w:rsidR="009549C5">
          <w:tab/>
        </w:r>
        <w:r w:rsidR="009549C5">
          <w:fldChar w:fldCharType="begin"/>
        </w:r>
        <w:r w:rsidR="009549C5">
          <w:instrText xml:space="preserve"> PAGEREF _Toc145343494 \h </w:instrText>
        </w:r>
        <w:r w:rsidR="009549C5">
          <w:fldChar w:fldCharType="separate"/>
        </w:r>
        <w:r w:rsidR="009549C5">
          <w:t>19</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95" w:history="1">
        <w:r w:rsidR="009549C5">
          <w:rPr>
            <w:rStyle w:val="afffc"/>
            <w:rFonts w:ascii="宋体" w:hAnsi="宋体"/>
          </w:rPr>
          <w:t>7.</w:t>
        </w:r>
        <w:r w:rsidR="009549C5">
          <w:rPr>
            <w:rStyle w:val="afffc"/>
            <w:rFonts w:ascii="宋体" w:hAnsi="宋体" w:hint="eastAsia"/>
          </w:rPr>
          <w:t>标准主要内容</w:t>
        </w:r>
        <w:r w:rsidR="009549C5">
          <w:tab/>
        </w:r>
        <w:r w:rsidR="009549C5">
          <w:fldChar w:fldCharType="begin"/>
        </w:r>
        <w:r w:rsidR="009549C5">
          <w:instrText xml:space="preserve"> PAGEREF _Toc145343495 \h </w:instrText>
        </w:r>
        <w:r w:rsidR="009549C5">
          <w:fldChar w:fldCharType="separate"/>
        </w:r>
        <w:r w:rsidR="009549C5">
          <w:t>21</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6" w:history="1">
        <w:r w:rsidR="009549C5">
          <w:rPr>
            <w:rStyle w:val="afffc"/>
            <w:rFonts w:ascii="宋体" w:hAnsi="宋体"/>
          </w:rPr>
          <w:t>7.1</w:t>
        </w:r>
        <w:r w:rsidR="009549C5">
          <w:rPr>
            <w:rStyle w:val="afffc"/>
            <w:rFonts w:ascii="宋体" w:hAnsi="宋体" w:hint="eastAsia"/>
          </w:rPr>
          <w:t>系统架构</w:t>
        </w:r>
        <w:r w:rsidR="009549C5">
          <w:tab/>
        </w:r>
        <w:r w:rsidR="009549C5">
          <w:fldChar w:fldCharType="begin"/>
        </w:r>
        <w:r w:rsidR="009549C5">
          <w:instrText xml:space="preserve"> PAGEREF _Toc145343496 \h </w:instrText>
        </w:r>
        <w:r w:rsidR="009549C5">
          <w:fldChar w:fldCharType="separate"/>
        </w:r>
        <w:r w:rsidR="009549C5">
          <w:t>21</w:t>
        </w:r>
        <w:r w:rsidR="009549C5">
          <w:fldChar w:fldCharType="end"/>
        </w:r>
      </w:hyperlink>
    </w:p>
    <w:p w:rsidR="00155EA0" w:rsidRDefault="00F873CB">
      <w:pPr>
        <w:pStyle w:val="TOC2"/>
        <w:tabs>
          <w:tab w:val="right" w:leader="dot" w:pos="8296"/>
        </w:tabs>
        <w:ind w:firstLine="400"/>
        <w:rPr>
          <w:smallCaps w:val="0"/>
          <w:sz w:val="21"/>
          <w:szCs w:val="22"/>
        </w:rPr>
      </w:pPr>
      <w:hyperlink w:anchor="_Toc145343497" w:history="1">
        <w:r w:rsidR="009549C5">
          <w:rPr>
            <w:rStyle w:val="afffc"/>
            <w:rFonts w:ascii="宋体" w:hAnsi="宋体"/>
          </w:rPr>
          <w:t xml:space="preserve">7.2 </w:t>
        </w:r>
        <w:r w:rsidR="009549C5">
          <w:rPr>
            <w:rStyle w:val="afffc"/>
            <w:rFonts w:ascii="宋体" w:hAnsi="宋体" w:hint="eastAsia"/>
          </w:rPr>
          <w:t>标准主要技术要求</w:t>
        </w:r>
        <w:r w:rsidR="009549C5">
          <w:tab/>
        </w:r>
        <w:r w:rsidR="009549C5">
          <w:fldChar w:fldCharType="begin"/>
        </w:r>
        <w:r w:rsidR="009549C5">
          <w:instrText xml:space="preserve"> PAGEREF _Toc145343497 \h </w:instrText>
        </w:r>
        <w:r w:rsidR="009549C5">
          <w:fldChar w:fldCharType="separate"/>
        </w:r>
        <w:r w:rsidR="009549C5">
          <w:t>21</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98" w:history="1">
        <w:r w:rsidR="009549C5">
          <w:rPr>
            <w:rStyle w:val="afffc"/>
            <w:rFonts w:ascii="宋体" w:hAnsi="宋体"/>
          </w:rPr>
          <w:t>8.</w:t>
        </w:r>
        <w:r w:rsidR="009549C5">
          <w:rPr>
            <w:rStyle w:val="afffc"/>
            <w:rFonts w:ascii="宋体" w:hAnsi="宋体" w:hint="eastAsia"/>
          </w:rPr>
          <w:t>国内外相关标准情况</w:t>
        </w:r>
        <w:r w:rsidR="009549C5">
          <w:tab/>
        </w:r>
        <w:r w:rsidR="009549C5">
          <w:fldChar w:fldCharType="begin"/>
        </w:r>
        <w:r w:rsidR="009549C5">
          <w:instrText xml:space="preserve"> PAGEREF _Toc145343498 \h </w:instrText>
        </w:r>
        <w:r w:rsidR="009549C5">
          <w:fldChar w:fldCharType="separate"/>
        </w:r>
        <w:r w:rsidR="009549C5">
          <w:t>24</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499" w:history="1">
        <w:r w:rsidR="009549C5">
          <w:rPr>
            <w:rStyle w:val="afffc"/>
            <w:rFonts w:ascii="宋体" w:hAnsi="宋体"/>
          </w:rPr>
          <w:t>9.</w:t>
        </w:r>
        <w:r w:rsidR="009549C5">
          <w:rPr>
            <w:rStyle w:val="afffc"/>
            <w:rFonts w:ascii="宋体" w:hAnsi="宋体" w:hint="eastAsia"/>
          </w:rPr>
          <w:t>标准实施的建议</w:t>
        </w:r>
        <w:r w:rsidR="009549C5">
          <w:tab/>
        </w:r>
        <w:r w:rsidR="009549C5">
          <w:fldChar w:fldCharType="begin"/>
        </w:r>
        <w:r w:rsidR="009549C5">
          <w:instrText xml:space="preserve"> PAGEREF _Toc145343499 \h </w:instrText>
        </w:r>
        <w:r w:rsidR="009549C5">
          <w:fldChar w:fldCharType="separate"/>
        </w:r>
        <w:r w:rsidR="009549C5">
          <w:t>25</w:t>
        </w:r>
        <w:r w:rsidR="009549C5">
          <w:fldChar w:fldCharType="end"/>
        </w:r>
      </w:hyperlink>
    </w:p>
    <w:p w:rsidR="00155EA0" w:rsidRDefault="00F873CB">
      <w:pPr>
        <w:pStyle w:val="TOC1"/>
        <w:tabs>
          <w:tab w:val="right" w:leader="dot" w:pos="8296"/>
        </w:tabs>
        <w:ind w:firstLine="402"/>
        <w:rPr>
          <w:b w:val="0"/>
          <w:bCs w:val="0"/>
          <w:caps w:val="0"/>
          <w:sz w:val="21"/>
          <w:szCs w:val="22"/>
        </w:rPr>
      </w:pPr>
      <w:hyperlink w:anchor="_Toc145343500" w:history="1">
        <w:r w:rsidR="009549C5">
          <w:rPr>
            <w:rStyle w:val="afffc"/>
            <w:rFonts w:ascii="宋体" w:hAnsi="宋体"/>
          </w:rPr>
          <w:t>10.</w:t>
        </w:r>
        <w:r w:rsidR="009549C5">
          <w:rPr>
            <w:rStyle w:val="afffc"/>
            <w:rFonts w:ascii="宋体" w:hAnsi="宋体" w:hint="eastAsia"/>
          </w:rPr>
          <w:t>贯彻标准要求和措施</w:t>
        </w:r>
        <w:r w:rsidR="009549C5">
          <w:tab/>
        </w:r>
        <w:r w:rsidR="009549C5">
          <w:fldChar w:fldCharType="begin"/>
        </w:r>
        <w:r w:rsidR="009549C5">
          <w:instrText xml:space="preserve"> PAGEREF _Toc145343500 \h </w:instrText>
        </w:r>
        <w:r w:rsidR="009549C5">
          <w:fldChar w:fldCharType="separate"/>
        </w:r>
        <w:r w:rsidR="009549C5">
          <w:t>26</w:t>
        </w:r>
        <w:r w:rsidR="009549C5">
          <w:fldChar w:fldCharType="end"/>
        </w:r>
      </w:hyperlink>
    </w:p>
    <w:p w:rsidR="00155EA0" w:rsidRDefault="00F873CB">
      <w:pPr>
        <w:pStyle w:val="TOC2"/>
        <w:tabs>
          <w:tab w:val="right" w:leader="dot" w:pos="8296"/>
        </w:tabs>
        <w:ind w:firstLine="400"/>
        <w:rPr>
          <w:smallCaps w:val="0"/>
          <w:sz w:val="21"/>
          <w:szCs w:val="22"/>
        </w:rPr>
      </w:pPr>
      <w:hyperlink w:anchor="_Toc145343501" w:history="1">
        <w:r w:rsidR="009549C5">
          <w:rPr>
            <w:rStyle w:val="afffc"/>
            <w:rFonts w:ascii="宋体" w:hAnsi="宋体"/>
          </w:rPr>
          <w:t>10.1</w:t>
        </w:r>
        <w:r w:rsidR="009549C5">
          <w:rPr>
            <w:rStyle w:val="afffc"/>
            <w:rFonts w:ascii="宋体" w:hAnsi="宋体" w:hint="eastAsia"/>
          </w:rPr>
          <w:t>使用对象</w:t>
        </w:r>
        <w:r w:rsidR="009549C5">
          <w:tab/>
        </w:r>
        <w:r w:rsidR="009549C5">
          <w:fldChar w:fldCharType="begin"/>
        </w:r>
        <w:r w:rsidR="009549C5">
          <w:instrText xml:space="preserve"> PAGEREF _Toc145343501 \h </w:instrText>
        </w:r>
        <w:r w:rsidR="009549C5">
          <w:fldChar w:fldCharType="separate"/>
        </w:r>
        <w:r w:rsidR="009549C5">
          <w:t>26</w:t>
        </w:r>
        <w:r w:rsidR="009549C5">
          <w:fldChar w:fldCharType="end"/>
        </w:r>
      </w:hyperlink>
    </w:p>
    <w:p w:rsidR="00155EA0" w:rsidRDefault="00F873CB">
      <w:pPr>
        <w:pStyle w:val="TOC2"/>
        <w:tabs>
          <w:tab w:val="right" w:leader="dot" w:pos="8296"/>
        </w:tabs>
        <w:ind w:firstLine="400"/>
        <w:rPr>
          <w:smallCaps w:val="0"/>
          <w:sz w:val="21"/>
          <w:szCs w:val="22"/>
        </w:rPr>
      </w:pPr>
      <w:hyperlink w:anchor="_Toc145343502" w:history="1">
        <w:r w:rsidR="009549C5">
          <w:rPr>
            <w:rStyle w:val="afffc"/>
            <w:rFonts w:ascii="宋体" w:hAnsi="宋体"/>
          </w:rPr>
          <w:t xml:space="preserve">10.2 </w:t>
        </w:r>
        <w:r w:rsidR="009549C5">
          <w:rPr>
            <w:rStyle w:val="afffc"/>
            <w:rFonts w:ascii="宋体" w:hAnsi="宋体" w:hint="eastAsia"/>
          </w:rPr>
          <w:t>标准宣贯实施计划</w:t>
        </w:r>
        <w:r w:rsidR="009549C5">
          <w:tab/>
        </w:r>
        <w:r w:rsidR="009549C5">
          <w:fldChar w:fldCharType="begin"/>
        </w:r>
        <w:r w:rsidR="009549C5">
          <w:instrText xml:space="preserve"> PAGEREF _Toc145343502 \h </w:instrText>
        </w:r>
        <w:r w:rsidR="009549C5">
          <w:fldChar w:fldCharType="separate"/>
        </w:r>
        <w:r w:rsidR="009549C5">
          <w:t>26</w:t>
        </w:r>
        <w:r w:rsidR="009549C5">
          <w:fldChar w:fldCharType="end"/>
        </w:r>
      </w:hyperlink>
    </w:p>
    <w:p w:rsidR="00155EA0" w:rsidRDefault="009549C5">
      <w:pPr>
        <w:spacing w:line="240" w:lineRule="auto"/>
        <w:ind w:firstLine="480"/>
        <w:rPr>
          <w:rFonts w:ascii="宋体" w:hAnsi="宋体"/>
          <w:szCs w:val="28"/>
        </w:rPr>
        <w:sectPr w:rsidR="00155EA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r>
        <w:rPr>
          <w:rFonts w:ascii="宋体" w:hAnsi="宋体"/>
          <w:sz w:val="24"/>
        </w:rPr>
        <w:fldChar w:fldCharType="end"/>
      </w:r>
    </w:p>
    <w:p w:rsidR="00155EA0" w:rsidRDefault="009549C5">
      <w:pPr>
        <w:pStyle w:val="1"/>
        <w:rPr>
          <w:rFonts w:ascii="宋体" w:hAnsi="宋体"/>
        </w:rPr>
      </w:pPr>
      <w:bookmarkStart w:id="2" w:name="_Toc145343478"/>
      <w:r>
        <w:rPr>
          <w:rFonts w:ascii="宋体" w:hAnsi="宋体" w:hint="eastAsia"/>
        </w:rPr>
        <w:lastRenderedPageBreak/>
        <w:t>1.项目背景</w:t>
      </w:r>
      <w:bookmarkEnd w:id="1"/>
      <w:bookmarkEnd w:id="2"/>
    </w:p>
    <w:p w:rsidR="00155EA0" w:rsidRDefault="009549C5">
      <w:pPr>
        <w:ind w:firstLine="560"/>
        <w:rPr>
          <w:rFonts w:ascii="宋体" w:hAnsi="宋体"/>
        </w:rPr>
      </w:pPr>
      <w:r>
        <w:rPr>
          <w:rFonts w:ascii="宋体" w:hAnsi="宋体" w:hint="eastAsia"/>
        </w:rPr>
        <w:t>本标准任务根据江苏省市场监督管理局关于下达202</w:t>
      </w:r>
      <w:r>
        <w:rPr>
          <w:rFonts w:ascii="宋体" w:hAnsi="宋体"/>
        </w:rPr>
        <w:t>3</w:t>
      </w:r>
      <w:r>
        <w:rPr>
          <w:rFonts w:ascii="宋体" w:hAnsi="宋体" w:hint="eastAsia"/>
        </w:rPr>
        <w:t>年度江苏省地方标准项目计划的通知，南京数字金融产业研究院进行编制。</w:t>
      </w:r>
    </w:p>
    <w:p w:rsidR="00155EA0" w:rsidRDefault="009549C5">
      <w:pPr>
        <w:ind w:firstLine="560"/>
        <w:rPr>
          <w:rFonts w:ascii="宋体" w:hAnsi="宋体"/>
        </w:rPr>
      </w:pPr>
      <w:r>
        <w:rPr>
          <w:rFonts w:ascii="宋体" w:hAnsi="宋体" w:hint="eastAsia"/>
        </w:rPr>
        <w:t>区块链作为一种分布式记账技术，主要通过将账本数据打包为区块，并采用密码学技术组成链状数据结构，在全网进行确认和验证。通过这种手段，实现防伪造、防篡改和可追溯等特性。因此，区块链技术提供了可信、安全的数据组织管理和应用方法，逐渐在许多重要行业应用中普及。</w:t>
      </w:r>
    </w:p>
    <w:p w:rsidR="00155EA0" w:rsidRDefault="009549C5">
      <w:pPr>
        <w:ind w:firstLine="560"/>
        <w:rPr>
          <w:rFonts w:ascii="宋体" w:hAnsi="宋体"/>
        </w:rPr>
      </w:pPr>
      <w:r>
        <w:rPr>
          <w:rFonts w:ascii="宋体" w:hAnsi="宋体" w:hint="eastAsia"/>
        </w:rPr>
        <w:t>区块链开创了一种在不可信的竞争环境中低成本建立信任的新型设计范式和协作模式，凭借其独有的信任建立机制，实现了信任逐级传递。区块链蕴含着巨大的变革潜力，正成为数字经济平台的重要组成。产业链条中存在大量中心化的信用中介和信息中介，减缓了系统运转效率，增加了资金往来成本。因此越来越多的将通用的分布式技术中的身份认证、权限管理、隐私保护、数据存证等模块相结合，并通过组建联盟的形式探索联盟链的技术路线。由于各领域在区块链技术设施选择和使用上呈现出参差不齐的局面，区块链通用选型规范有助于统一认识，规范和指导各机构对区块链平台的选型、应用。</w:t>
      </w:r>
    </w:p>
    <w:p w:rsidR="00155EA0" w:rsidRDefault="009549C5">
      <w:pPr>
        <w:pStyle w:val="2"/>
        <w:rPr>
          <w:rFonts w:ascii="宋体" w:hAnsi="宋体"/>
        </w:rPr>
      </w:pPr>
      <w:bookmarkStart w:id="3" w:name="_Toc145343479"/>
      <w:bookmarkStart w:id="4" w:name="_Toc6926"/>
      <w:r>
        <w:rPr>
          <w:rFonts w:ascii="宋体" w:hAnsi="宋体" w:hint="eastAsia"/>
        </w:rPr>
        <w:t>1.1协作单位和主要起草人</w:t>
      </w:r>
      <w:bookmarkEnd w:id="3"/>
      <w:bookmarkEnd w:id="4"/>
    </w:p>
    <w:p w:rsidR="00EB5D10" w:rsidRPr="00EB5D10" w:rsidRDefault="009549C5" w:rsidP="00EB5D10">
      <w:pPr>
        <w:ind w:firstLine="560"/>
      </w:pPr>
      <w:r>
        <w:rPr>
          <w:rFonts w:ascii="宋体" w:hAnsi="宋体" w:hint="eastAsia"/>
        </w:rPr>
        <w:t>本标准起草单位：</w:t>
      </w:r>
      <w:r>
        <w:rPr>
          <w:rFonts w:hint="eastAsia"/>
        </w:rPr>
        <w:t>南京数字金融产业研究院有限公司</w:t>
      </w:r>
      <w:r w:rsidR="00EB5D10">
        <w:rPr>
          <w:rFonts w:hint="eastAsia"/>
        </w:rPr>
        <w:t>、</w:t>
      </w:r>
      <w:r w:rsidR="00EB5D10" w:rsidRPr="00EB5D10">
        <w:rPr>
          <w:rFonts w:hint="eastAsia"/>
        </w:rPr>
        <w:t>中国移动紫金（江苏）创新研究院有限公司</w:t>
      </w:r>
      <w:r w:rsidR="00EB5D10">
        <w:rPr>
          <w:rFonts w:hint="eastAsia"/>
        </w:rPr>
        <w:t>、</w:t>
      </w:r>
      <w:r w:rsidR="00D61DB0">
        <w:rPr>
          <w:rFonts w:hint="eastAsia"/>
        </w:rPr>
        <w:t>江苏省联合征信有限公司、</w:t>
      </w:r>
      <w:r w:rsidR="00EB5D10">
        <w:rPr>
          <w:rFonts w:hint="eastAsia"/>
        </w:rPr>
        <w:t>江苏省质量与标准化研究院</w:t>
      </w:r>
      <w:r w:rsidR="00D61DB0">
        <w:rPr>
          <w:rFonts w:hint="eastAsia"/>
        </w:rPr>
        <w:t>。</w:t>
      </w:r>
    </w:p>
    <w:p w:rsidR="00155EA0" w:rsidRDefault="009549C5">
      <w:pPr>
        <w:ind w:firstLine="560"/>
        <w:rPr>
          <w:rFonts w:ascii="宋体" w:hAnsi="宋体"/>
        </w:rPr>
      </w:pPr>
      <w:r>
        <w:rPr>
          <w:rFonts w:ascii="宋体" w:hAnsi="宋体" w:hint="eastAsia"/>
        </w:rPr>
        <w:t>本标准主要起草人：</w:t>
      </w:r>
      <w:r>
        <w:rPr>
          <w:rFonts w:hint="eastAsia"/>
        </w:rPr>
        <w:t>陈莹、</w:t>
      </w:r>
      <w:r w:rsidR="00EB5D10">
        <w:rPr>
          <w:rFonts w:hint="eastAsia"/>
        </w:rPr>
        <w:t>孙凯、林巍巍</w:t>
      </w:r>
      <w:r w:rsidR="00D61DB0">
        <w:rPr>
          <w:rFonts w:hint="eastAsia"/>
        </w:rPr>
        <w:t>、王志平</w:t>
      </w:r>
      <w:r w:rsidR="00EB5D10">
        <w:rPr>
          <w:rFonts w:hint="eastAsia"/>
        </w:rPr>
        <w:t>、</w:t>
      </w:r>
      <w:r w:rsidR="00EB5D10" w:rsidRPr="00EB5D10">
        <w:rPr>
          <w:rFonts w:hint="eastAsia"/>
        </w:rPr>
        <w:t>包岩、周晓</w:t>
      </w:r>
      <w:r w:rsidR="00EB5D10" w:rsidRPr="00EB5D10">
        <w:rPr>
          <w:rFonts w:hint="eastAsia"/>
        </w:rPr>
        <w:lastRenderedPageBreak/>
        <w:t>阳、彭涛</w:t>
      </w:r>
      <w:r w:rsidR="00D61DB0">
        <w:rPr>
          <w:rFonts w:hint="eastAsia"/>
        </w:rPr>
        <w:t>。</w:t>
      </w:r>
      <w:bookmarkStart w:id="5" w:name="_GoBack"/>
      <w:bookmarkEnd w:id="5"/>
    </w:p>
    <w:p w:rsidR="00155EA0" w:rsidRDefault="009549C5">
      <w:pPr>
        <w:pStyle w:val="2"/>
        <w:rPr>
          <w:rFonts w:ascii="宋体" w:hAnsi="宋体"/>
        </w:rPr>
      </w:pPr>
      <w:bookmarkStart w:id="6" w:name="_Toc145343480"/>
      <w:bookmarkStart w:id="7" w:name="_Toc8389"/>
      <w:r>
        <w:rPr>
          <w:rFonts w:ascii="宋体" w:hAnsi="宋体" w:hint="eastAsia"/>
        </w:rPr>
        <w:t>1.2工作过程</w:t>
      </w:r>
      <w:bookmarkEnd w:id="6"/>
      <w:bookmarkEnd w:id="7"/>
    </w:p>
    <w:p w:rsidR="00155EA0" w:rsidRDefault="009549C5">
      <w:pPr>
        <w:ind w:firstLine="560"/>
        <w:rPr>
          <w:rFonts w:ascii="宋体" w:hAnsi="宋体"/>
        </w:rPr>
      </w:pPr>
      <w:r>
        <w:rPr>
          <w:rFonts w:ascii="宋体" w:hAnsi="宋体" w:hint="eastAsia"/>
        </w:rPr>
        <w:t>202</w:t>
      </w:r>
      <w:r>
        <w:rPr>
          <w:rFonts w:ascii="宋体" w:hAnsi="宋体"/>
        </w:rPr>
        <w:t>3</w:t>
      </w:r>
      <w:r>
        <w:rPr>
          <w:rFonts w:ascii="宋体" w:hAnsi="宋体" w:hint="eastAsia"/>
        </w:rPr>
        <w:t>年5月，召开了标准的立项会，同时制定了标准编制工作计划、编写大纲，明确任务分工及各阶段进度、时间。同时，标准起草工作组成员认真学习了本标准按照GB/T1.1-2020给出的规则起草，结合标准制定工作程序的各个环节，进行了探讨和研究。</w:t>
      </w:r>
    </w:p>
    <w:p w:rsidR="00155EA0" w:rsidRDefault="009549C5">
      <w:pPr>
        <w:ind w:firstLine="560"/>
        <w:rPr>
          <w:rFonts w:ascii="宋体" w:hAnsi="宋体"/>
        </w:rPr>
      </w:pPr>
      <w:r>
        <w:rPr>
          <w:rFonts w:ascii="宋体" w:hAnsi="宋体" w:hint="eastAsia"/>
        </w:rPr>
        <w:t xml:space="preserve"> 本标准的制定工作遵循“统一性、协调性、适用性、一致性、规范性”的原则，本着先进性、科学性、合理性和可操作性的原则，在江苏省市场</w:t>
      </w:r>
      <w:r>
        <w:rPr>
          <w:rFonts w:ascii="宋体" w:hAnsi="宋体"/>
        </w:rPr>
        <w:t>监督管理局</w:t>
      </w:r>
      <w:r>
        <w:rPr>
          <w:rFonts w:ascii="宋体" w:hAnsi="宋体" w:hint="eastAsia"/>
        </w:rPr>
        <w:t>标准化管理处指导下，由南京数字金融产业研究院牵头组织成立标准编制组，征集了标准起草参与单位与编辑人员，成立标准编制组，对区块链平台的相关技术发展现状</w:t>
      </w:r>
      <w:r>
        <w:rPr>
          <w:rFonts w:ascii="宋体" w:hAnsi="宋体"/>
        </w:rPr>
        <w:t>、相关研究进展</w:t>
      </w:r>
      <w:r>
        <w:rPr>
          <w:rFonts w:ascii="宋体" w:hAnsi="宋体" w:hint="eastAsia"/>
        </w:rPr>
        <w:t>和应用实践进行了广泛地调研，对标准的需求和内容进行了深入地分析和研究。</w:t>
      </w:r>
    </w:p>
    <w:p w:rsidR="00155EA0" w:rsidRDefault="009549C5">
      <w:pPr>
        <w:ind w:firstLine="560"/>
        <w:rPr>
          <w:rFonts w:ascii="宋体" w:hAnsi="宋体"/>
        </w:rPr>
      </w:pPr>
      <w:r>
        <w:rPr>
          <w:rFonts w:ascii="宋体" w:hAnsi="宋体" w:hint="eastAsia"/>
        </w:rPr>
        <w:t>标准编制组召开了多次标准编制会,对标准草案内容进行深入讨论和修订,标准起草工作组按照会议纪要内容，对草案稿提出的意见、建议进行了认真分析、理解和总结。编制组在编制过程中，进行了长多次调研，提出了安全性和适用性等多条意见，并将之收录到标准中。后期将形成的标准内容进行专家评审，并根据专家意见精细化工修改，后期提交区块链标准委员会，由委员会对内容再次审核和提出建议，针对建议再次修改，形成标准送审稿。</w:t>
      </w:r>
    </w:p>
    <w:p w:rsidR="00155EA0" w:rsidRDefault="009549C5">
      <w:pPr>
        <w:ind w:firstLine="560"/>
        <w:rPr>
          <w:rFonts w:ascii="宋体" w:hAnsi="宋体"/>
        </w:rPr>
      </w:pPr>
      <w:r>
        <w:rPr>
          <w:rFonts w:ascii="宋体" w:hAnsi="宋体" w:hint="eastAsia"/>
        </w:rPr>
        <w:t>该标准编制采取调研分析、实地考察、试验分析和归纳总结等方法逐步来完成对区块链平台通用选型规范的研究探索。</w:t>
      </w:r>
    </w:p>
    <w:p w:rsidR="00155EA0" w:rsidRDefault="009549C5">
      <w:pPr>
        <w:pStyle w:val="1"/>
        <w:rPr>
          <w:rFonts w:ascii="宋体" w:hAnsi="宋体"/>
        </w:rPr>
      </w:pPr>
      <w:bookmarkStart w:id="8" w:name="_Toc97303502"/>
      <w:bookmarkStart w:id="9" w:name="_Toc29929"/>
      <w:bookmarkStart w:id="10" w:name="_Toc145343481"/>
      <w:r>
        <w:rPr>
          <w:rFonts w:ascii="宋体" w:hAnsi="宋体" w:hint="eastAsia"/>
        </w:rPr>
        <w:lastRenderedPageBreak/>
        <w:t>2.标准编制必要性和</w:t>
      </w:r>
      <w:r>
        <w:rPr>
          <w:rFonts w:ascii="宋体" w:hAnsi="宋体"/>
        </w:rPr>
        <w:t>可行性</w:t>
      </w:r>
      <w:r>
        <w:rPr>
          <w:rFonts w:ascii="宋体" w:hAnsi="宋体" w:hint="eastAsia"/>
        </w:rPr>
        <w:t>分析</w:t>
      </w:r>
      <w:bookmarkEnd w:id="8"/>
      <w:bookmarkEnd w:id="9"/>
      <w:bookmarkEnd w:id="10"/>
    </w:p>
    <w:p w:rsidR="00155EA0" w:rsidRDefault="009549C5">
      <w:pPr>
        <w:pStyle w:val="2"/>
        <w:rPr>
          <w:rFonts w:ascii="宋体" w:hAnsi="宋体"/>
        </w:rPr>
      </w:pPr>
      <w:bookmarkStart w:id="11" w:name="_Toc145343482"/>
      <w:bookmarkStart w:id="12" w:name="_Toc31448"/>
      <w:r>
        <w:rPr>
          <w:rFonts w:ascii="宋体" w:hAnsi="宋体" w:hint="eastAsia"/>
        </w:rPr>
        <w:t>2.1必要性</w:t>
      </w:r>
      <w:bookmarkEnd w:id="11"/>
      <w:bookmarkEnd w:id="12"/>
    </w:p>
    <w:p w:rsidR="00155EA0" w:rsidRDefault="009549C5">
      <w:pPr>
        <w:spacing w:line="560" w:lineRule="exact"/>
        <w:ind w:firstLine="562"/>
        <w:jc w:val="left"/>
        <w:outlineLvl w:val="2"/>
        <w:rPr>
          <w:b/>
          <w:bCs/>
          <w:szCs w:val="28"/>
          <w:lang w:eastAsia="zh-Hans"/>
        </w:rPr>
      </w:pPr>
      <w:bookmarkStart w:id="13" w:name="_Toc145343483"/>
      <w:bookmarkStart w:id="14" w:name="_Toc2921"/>
      <w:r>
        <w:rPr>
          <w:b/>
          <w:bCs/>
          <w:szCs w:val="28"/>
        </w:rPr>
        <w:t>2.1.1</w:t>
      </w:r>
      <w:bookmarkStart w:id="15" w:name="_Hlk89934661"/>
      <w:r>
        <w:rPr>
          <w:b/>
          <w:bCs/>
          <w:szCs w:val="28"/>
          <w:lang w:eastAsia="zh-Hans"/>
        </w:rPr>
        <w:t>数字经济发展迅速，</w:t>
      </w:r>
      <w:r>
        <w:rPr>
          <w:rFonts w:hint="eastAsia"/>
          <w:b/>
          <w:bCs/>
          <w:szCs w:val="28"/>
          <w:lang w:eastAsia="zh-Hans"/>
        </w:rPr>
        <w:t>区块链开启数字时代底层创新</w:t>
      </w:r>
    </w:p>
    <w:bookmarkEnd w:id="15"/>
    <w:p w:rsidR="00155EA0" w:rsidRDefault="009549C5">
      <w:pPr>
        <w:spacing w:line="560" w:lineRule="exact"/>
        <w:ind w:firstLine="560"/>
        <w:jc w:val="left"/>
        <w:rPr>
          <w:szCs w:val="28"/>
        </w:rPr>
      </w:pPr>
      <w:r>
        <w:rPr>
          <w:szCs w:val="28"/>
          <w:lang w:eastAsia="zh-Hans"/>
        </w:rPr>
        <w:t>党的十八大以来，政府高度重视发展数字经济，数字经济上升为国家战略。</w:t>
      </w:r>
      <w:r>
        <w:rPr>
          <w:szCs w:val="28"/>
        </w:rPr>
        <w:t>中国信通院发布的《中国数字经济发展白皮书</w:t>
      </w:r>
      <w:r>
        <w:rPr>
          <w:szCs w:val="28"/>
        </w:rPr>
        <w:t>(2021)</w:t>
      </w:r>
      <w:r>
        <w:rPr>
          <w:szCs w:val="28"/>
        </w:rPr>
        <w:t>》显示，</w:t>
      </w:r>
      <w:r>
        <w:rPr>
          <w:szCs w:val="28"/>
        </w:rPr>
        <w:t>2020</w:t>
      </w:r>
      <w:r>
        <w:rPr>
          <w:szCs w:val="28"/>
        </w:rPr>
        <w:t>年我国数字经济规模达到</w:t>
      </w:r>
      <w:r>
        <w:rPr>
          <w:szCs w:val="28"/>
        </w:rPr>
        <w:t>39.2</w:t>
      </w:r>
      <w:r>
        <w:rPr>
          <w:szCs w:val="28"/>
        </w:rPr>
        <w:t>万亿元，占</w:t>
      </w:r>
      <w:r>
        <w:rPr>
          <w:szCs w:val="28"/>
        </w:rPr>
        <w:t>GDP</w:t>
      </w:r>
      <w:r>
        <w:rPr>
          <w:szCs w:val="28"/>
        </w:rPr>
        <w:t>比重为</w:t>
      </w:r>
      <w:r>
        <w:rPr>
          <w:szCs w:val="28"/>
        </w:rPr>
        <w:t>38.6%</w:t>
      </w:r>
      <w:r>
        <w:rPr>
          <w:szCs w:val="28"/>
        </w:rPr>
        <w:t>，目前位居世界第二。</w:t>
      </w:r>
      <w:r>
        <w:rPr>
          <w:rFonts w:hint="eastAsia"/>
          <w:szCs w:val="28"/>
        </w:rPr>
        <w:t>江苏省数字经济总量位居世界第二，是区域经济增长的重要引擎。</w:t>
      </w:r>
    </w:p>
    <w:p w:rsidR="00155EA0" w:rsidRDefault="009549C5">
      <w:pPr>
        <w:spacing w:line="560" w:lineRule="exact"/>
        <w:ind w:firstLine="560"/>
        <w:jc w:val="left"/>
        <w:rPr>
          <w:szCs w:val="28"/>
        </w:rPr>
      </w:pPr>
      <w:r>
        <w:rPr>
          <w:szCs w:val="28"/>
        </w:rPr>
        <w:t>随着数字经济的兴起，区块链成为全球最受关注的前沿科技领域之一。相比传统信息技术，区块链</w:t>
      </w:r>
      <w:bookmarkStart w:id="16" w:name="_Hlk89934718"/>
      <w:r>
        <w:rPr>
          <w:szCs w:val="28"/>
        </w:rPr>
        <w:t>去中心化、匿名性、不可篡改性、信息高度透明等的特质</w:t>
      </w:r>
      <w:bookmarkEnd w:id="16"/>
      <w:r>
        <w:rPr>
          <w:szCs w:val="28"/>
        </w:rPr>
        <w:t>，区块链技术具有产生颠覆性价值影响的潜力。根据世界经济论坛调查预测，到</w:t>
      </w:r>
      <w:r>
        <w:rPr>
          <w:szCs w:val="28"/>
        </w:rPr>
        <w:t>2025</w:t>
      </w:r>
      <w:r>
        <w:rPr>
          <w:szCs w:val="28"/>
        </w:rPr>
        <w:t>年，全球</w:t>
      </w:r>
      <w:r>
        <w:rPr>
          <w:szCs w:val="28"/>
        </w:rPr>
        <w:t>GDP</w:t>
      </w:r>
      <w:r>
        <w:rPr>
          <w:szCs w:val="28"/>
        </w:rPr>
        <w:t>中有</w:t>
      </w:r>
      <w:r>
        <w:rPr>
          <w:szCs w:val="28"/>
        </w:rPr>
        <w:t>10</w:t>
      </w:r>
      <w:r>
        <w:rPr>
          <w:szCs w:val="28"/>
        </w:rPr>
        <w:t>％的相关信息将用区块链技术保存。</w:t>
      </w:r>
    </w:p>
    <w:p w:rsidR="00155EA0" w:rsidRDefault="009549C5">
      <w:pPr>
        <w:spacing w:line="560" w:lineRule="exact"/>
        <w:ind w:firstLine="562"/>
        <w:jc w:val="left"/>
        <w:outlineLvl w:val="2"/>
        <w:rPr>
          <w:b/>
          <w:bCs/>
          <w:szCs w:val="28"/>
          <w:lang w:eastAsia="zh-Hans"/>
        </w:rPr>
      </w:pPr>
      <w:r>
        <w:rPr>
          <w:b/>
          <w:bCs/>
          <w:szCs w:val="28"/>
          <w:lang w:eastAsia="zh-Hans"/>
        </w:rPr>
        <w:t>2.1.</w:t>
      </w:r>
      <w:r>
        <w:rPr>
          <w:rFonts w:hint="eastAsia"/>
          <w:b/>
          <w:bCs/>
          <w:szCs w:val="28"/>
          <w:lang w:eastAsia="zh-Hans"/>
        </w:rPr>
        <w:t>2</w:t>
      </w:r>
      <w:bookmarkStart w:id="17" w:name="_Hlk89934670"/>
      <w:r>
        <w:rPr>
          <w:rFonts w:hint="eastAsia"/>
          <w:b/>
          <w:bCs/>
          <w:szCs w:val="28"/>
          <w:lang w:eastAsia="zh-Hans"/>
        </w:rPr>
        <w:t>区块链</w:t>
      </w:r>
      <w:r>
        <w:rPr>
          <w:b/>
          <w:bCs/>
          <w:szCs w:val="28"/>
          <w:lang w:eastAsia="zh-Hans"/>
        </w:rPr>
        <w:t>平台</w:t>
      </w:r>
      <w:r>
        <w:rPr>
          <w:rFonts w:hint="eastAsia"/>
          <w:b/>
          <w:bCs/>
          <w:szCs w:val="28"/>
          <w:lang w:eastAsia="zh-Hans"/>
        </w:rPr>
        <w:t>标准尚未统一，亟需引导行业应用规范化</w:t>
      </w:r>
    </w:p>
    <w:bookmarkEnd w:id="17"/>
    <w:p w:rsidR="00155EA0" w:rsidRDefault="009549C5">
      <w:pPr>
        <w:spacing w:line="560" w:lineRule="exact"/>
        <w:ind w:firstLine="560"/>
        <w:jc w:val="left"/>
        <w:rPr>
          <w:szCs w:val="28"/>
        </w:rPr>
      </w:pPr>
      <w:r>
        <w:rPr>
          <w:rFonts w:hint="eastAsia"/>
          <w:szCs w:val="28"/>
          <w:lang w:eastAsia="zh-Hans"/>
        </w:rPr>
        <w:t>数字时代来临，</w:t>
      </w:r>
      <w:r>
        <w:rPr>
          <w:szCs w:val="28"/>
        </w:rPr>
        <w:t>但区块链技术发展时间较短，发展势头迅猛，这期间免不了因为发展速度过快而导致走</w:t>
      </w:r>
      <w:r>
        <w:rPr>
          <w:szCs w:val="28"/>
        </w:rPr>
        <w:t>“</w:t>
      </w:r>
      <w:r>
        <w:rPr>
          <w:szCs w:val="28"/>
        </w:rPr>
        <w:t>弯路</w:t>
      </w:r>
      <w:r>
        <w:rPr>
          <w:szCs w:val="28"/>
        </w:rPr>
        <w:t>”</w:t>
      </w:r>
      <w:r>
        <w:rPr>
          <w:szCs w:val="28"/>
        </w:rPr>
        <w:t>，或者有不法分子进行钻空子行为，使得区块链行业存在诸多乱象和技术问题需要解决，安全问题、效率问题、可信问题、异构协作问题等都是</w:t>
      </w:r>
      <w:r w:rsidR="0052241F">
        <w:rPr>
          <w:rFonts w:hint="eastAsia"/>
          <w:szCs w:val="28"/>
        </w:rPr>
        <w:t>行业</w:t>
      </w:r>
      <w:r>
        <w:rPr>
          <w:rFonts w:hint="eastAsia"/>
          <w:szCs w:val="28"/>
        </w:rPr>
        <w:t>应用下一步</w:t>
      </w:r>
      <w:r>
        <w:rPr>
          <w:szCs w:val="28"/>
        </w:rPr>
        <w:t>发展的阻碍。《区块链产业安全分析报告》显示，</w:t>
      </w:r>
      <w:r>
        <w:rPr>
          <w:szCs w:val="28"/>
        </w:rPr>
        <w:t>2011</w:t>
      </w:r>
      <w:r>
        <w:rPr>
          <w:szCs w:val="28"/>
        </w:rPr>
        <w:t>年到</w:t>
      </w:r>
      <w:r>
        <w:rPr>
          <w:szCs w:val="28"/>
        </w:rPr>
        <w:t>2018</w:t>
      </w:r>
      <w:r>
        <w:rPr>
          <w:szCs w:val="28"/>
        </w:rPr>
        <w:t>年</w:t>
      </w:r>
      <w:r>
        <w:rPr>
          <w:szCs w:val="28"/>
        </w:rPr>
        <w:t>4</w:t>
      </w:r>
      <w:r>
        <w:rPr>
          <w:szCs w:val="28"/>
        </w:rPr>
        <w:t>月，全球范围内因区块链安全事件造成的损失多达</w:t>
      </w:r>
      <w:r>
        <w:rPr>
          <w:szCs w:val="28"/>
        </w:rPr>
        <w:t>28.64</w:t>
      </w:r>
      <w:r>
        <w:rPr>
          <w:szCs w:val="28"/>
        </w:rPr>
        <w:t>亿美元。近两年相关损失金额呈指数上升之势，仅</w:t>
      </w:r>
      <w:r>
        <w:rPr>
          <w:szCs w:val="28"/>
        </w:rPr>
        <w:t>2018</w:t>
      </w:r>
      <w:r>
        <w:rPr>
          <w:szCs w:val="28"/>
        </w:rPr>
        <w:t>年以来，损失金额就高达</w:t>
      </w:r>
      <w:r>
        <w:rPr>
          <w:szCs w:val="28"/>
        </w:rPr>
        <w:t>19</w:t>
      </w:r>
      <w:r>
        <w:rPr>
          <w:szCs w:val="28"/>
        </w:rPr>
        <w:t>亿美元。而规范化标准能够对区块链的发展起到积极的促进作用，行业先行者及专业人士可以整合优势，引导行业在规范化平台、环境下加速成长。</w:t>
      </w:r>
    </w:p>
    <w:p w:rsidR="00155EA0" w:rsidRDefault="009549C5">
      <w:pPr>
        <w:spacing w:line="560" w:lineRule="exact"/>
        <w:ind w:firstLine="560"/>
        <w:jc w:val="left"/>
        <w:rPr>
          <w:szCs w:val="28"/>
        </w:rPr>
      </w:pPr>
      <w:r>
        <w:rPr>
          <w:rFonts w:hint="eastAsia"/>
          <w:szCs w:val="28"/>
        </w:rPr>
        <w:lastRenderedPageBreak/>
        <w:t>市场和企业急需区块链</w:t>
      </w:r>
      <w:r>
        <w:rPr>
          <w:szCs w:val="28"/>
        </w:rPr>
        <w:t>平台</w:t>
      </w:r>
      <w:r>
        <w:rPr>
          <w:rFonts w:hint="eastAsia"/>
          <w:szCs w:val="28"/>
        </w:rPr>
        <w:t>标准的规范化。</w:t>
      </w:r>
      <w:r>
        <w:rPr>
          <w:szCs w:val="28"/>
        </w:rPr>
        <w:t>在基于链基础的技术上，区块链平台性能受网络环境、节点数量、共识算法、业务逻辑等因素影响较大，各国、各地、各行业甚至同行业在应用、安全、互通等方面标准不统一，都会导致区块链技术应用落地的发展缓慢</w:t>
      </w:r>
      <w:r>
        <w:rPr>
          <w:rFonts w:hint="eastAsia"/>
          <w:szCs w:val="28"/>
        </w:rPr>
        <w:t>，制约其在</w:t>
      </w:r>
      <w:r w:rsidR="0052241F">
        <w:rPr>
          <w:rFonts w:hint="eastAsia"/>
          <w:szCs w:val="28"/>
        </w:rPr>
        <w:t>各</w:t>
      </w:r>
      <w:r>
        <w:rPr>
          <w:rFonts w:hint="eastAsia"/>
          <w:szCs w:val="28"/>
        </w:rPr>
        <w:t>行业的</w:t>
      </w:r>
      <w:r>
        <w:rPr>
          <w:szCs w:val="28"/>
        </w:rPr>
        <w:t>跨链互联、场景拓展和产业合作。因而区块链</w:t>
      </w:r>
      <w:r>
        <w:rPr>
          <w:rFonts w:hint="eastAsia"/>
          <w:szCs w:val="28"/>
        </w:rPr>
        <w:t>相关技术</w:t>
      </w:r>
      <w:r>
        <w:rPr>
          <w:szCs w:val="28"/>
        </w:rPr>
        <w:t>标准的制定对于跨行业、跨国之间的区块链应用落地和联合等方面意义重大</w:t>
      </w:r>
      <w:r>
        <w:rPr>
          <w:rFonts w:hint="eastAsia"/>
          <w:szCs w:val="28"/>
        </w:rPr>
        <w:t>，对于地区</w:t>
      </w:r>
      <w:r w:rsidR="0052241F">
        <w:rPr>
          <w:rFonts w:hint="eastAsia"/>
          <w:szCs w:val="28"/>
        </w:rPr>
        <w:t>各</w:t>
      </w:r>
      <w:r>
        <w:rPr>
          <w:rFonts w:hint="eastAsia"/>
          <w:szCs w:val="28"/>
        </w:rPr>
        <w:t>行业在数字经济时代的发展也影响重大。</w:t>
      </w:r>
    </w:p>
    <w:p w:rsidR="00155EA0" w:rsidRDefault="009549C5">
      <w:pPr>
        <w:spacing w:line="560" w:lineRule="exact"/>
        <w:ind w:firstLine="562"/>
        <w:jc w:val="left"/>
        <w:outlineLvl w:val="2"/>
        <w:rPr>
          <w:b/>
          <w:bCs/>
          <w:szCs w:val="28"/>
          <w:lang w:eastAsia="zh-Hans"/>
        </w:rPr>
      </w:pPr>
      <w:r>
        <w:rPr>
          <w:b/>
          <w:bCs/>
          <w:szCs w:val="28"/>
          <w:lang w:eastAsia="zh-Hans"/>
        </w:rPr>
        <w:t>2.1.</w:t>
      </w:r>
      <w:r>
        <w:rPr>
          <w:rFonts w:hint="eastAsia"/>
          <w:b/>
          <w:bCs/>
          <w:szCs w:val="28"/>
          <w:lang w:eastAsia="zh-Hans"/>
        </w:rPr>
        <w:t>3</w:t>
      </w:r>
      <w:bookmarkStart w:id="18" w:name="_Hlk89934680"/>
      <w:r>
        <w:rPr>
          <w:rFonts w:hint="eastAsia"/>
          <w:b/>
          <w:bCs/>
          <w:szCs w:val="28"/>
          <w:lang w:eastAsia="zh-Hans"/>
        </w:rPr>
        <w:t>建设区块链</w:t>
      </w:r>
      <w:r>
        <w:rPr>
          <w:b/>
          <w:bCs/>
          <w:szCs w:val="28"/>
          <w:lang w:eastAsia="zh-Hans"/>
        </w:rPr>
        <w:t>平台</w:t>
      </w:r>
      <w:r>
        <w:rPr>
          <w:rFonts w:hint="eastAsia"/>
          <w:b/>
          <w:bCs/>
          <w:szCs w:val="28"/>
          <w:lang w:eastAsia="zh-Hans"/>
        </w:rPr>
        <w:t>标准，将有效提升江苏经济与社会效益</w:t>
      </w:r>
    </w:p>
    <w:bookmarkEnd w:id="18"/>
    <w:p w:rsidR="00155EA0" w:rsidRDefault="009549C5">
      <w:pPr>
        <w:spacing w:line="560" w:lineRule="exact"/>
        <w:ind w:firstLine="560"/>
        <w:jc w:val="left"/>
        <w:rPr>
          <w:szCs w:val="28"/>
        </w:rPr>
      </w:pPr>
      <w:r>
        <w:rPr>
          <w:rFonts w:hint="eastAsia"/>
          <w:szCs w:val="28"/>
        </w:rPr>
        <w:t>江苏信息通信业发展水平高，软件产业发达，科教资源丰富，具备区块链技术发展与应用的良好环境。截至</w:t>
      </w:r>
      <w:r>
        <w:rPr>
          <w:rFonts w:hint="eastAsia"/>
          <w:szCs w:val="28"/>
        </w:rPr>
        <w:t>2020</w:t>
      </w:r>
      <w:r>
        <w:rPr>
          <w:rFonts w:hint="eastAsia"/>
          <w:szCs w:val="28"/>
        </w:rPr>
        <w:t>年底，江苏省区块链企业数量为</w:t>
      </w:r>
      <w:r>
        <w:rPr>
          <w:rFonts w:hint="eastAsia"/>
          <w:szCs w:val="28"/>
        </w:rPr>
        <w:t>3521</w:t>
      </w:r>
      <w:r>
        <w:rPr>
          <w:rFonts w:hint="eastAsia"/>
          <w:szCs w:val="28"/>
        </w:rPr>
        <w:t>家，较上年增加</w:t>
      </w:r>
      <w:r>
        <w:rPr>
          <w:rFonts w:hint="eastAsia"/>
          <w:szCs w:val="28"/>
        </w:rPr>
        <w:t>2481</w:t>
      </w:r>
      <w:r>
        <w:rPr>
          <w:rFonts w:hint="eastAsia"/>
          <w:szCs w:val="28"/>
        </w:rPr>
        <w:t>家，同比增长</w:t>
      </w:r>
      <w:r>
        <w:rPr>
          <w:rFonts w:hint="eastAsia"/>
          <w:szCs w:val="28"/>
        </w:rPr>
        <w:t>238.6%</w:t>
      </w:r>
      <w:r>
        <w:rPr>
          <w:rFonts w:hint="eastAsia"/>
          <w:szCs w:val="28"/>
        </w:rPr>
        <w:t>，呈现爆发式增长态势，</w:t>
      </w:r>
      <w:r>
        <w:rPr>
          <w:szCs w:val="28"/>
        </w:rPr>
        <w:t>。</w:t>
      </w:r>
    </w:p>
    <w:p w:rsidR="00155EA0" w:rsidRDefault="009549C5">
      <w:pPr>
        <w:spacing w:line="560" w:lineRule="exact"/>
        <w:ind w:firstLine="560"/>
        <w:jc w:val="left"/>
        <w:rPr>
          <w:szCs w:val="28"/>
        </w:rPr>
      </w:pPr>
      <w:r>
        <w:rPr>
          <w:szCs w:val="28"/>
        </w:rPr>
        <w:t>积极构建包含</w:t>
      </w:r>
      <w:r>
        <w:rPr>
          <w:rFonts w:hint="eastAsia"/>
          <w:szCs w:val="28"/>
        </w:rPr>
        <w:t>底层</w:t>
      </w:r>
      <w:r>
        <w:rPr>
          <w:szCs w:val="28"/>
        </w:rPr>
        <w:t>平台</w:t>
      </w:r>
      <w:r>
        <w:rPr>
          <w:rFonts w:hint="eastAsia"/>
          <w:szCs w:val="28"/>
        </w:rPr>
        <w:t>技术规范</w:t>
      </w:r>
      <w:r>
        <w:rPr>
          <w:szCs w:val="28"/>
        </w:rPr>
        <w:t>在内的标准体系的建设</w:t>
      </w:r>
      <w:r>
        <w:rPr>
          <w:rFonts w:hint="eastAsia"/>
          <w:szCs w:val="28"/>
        </w:rPr>
        <w:t>，将有利于</w:t>
      </w:r>
      <w:r>
        <w:rPr>
          <w:szCs w:val="28"/>
        </w:rPr>
        <w:t>规范</w:t>
      </w:r>
      <w:r>
        <w:rPr>
          <w:rFonts w:hint="eastAsia"/>
          <w:szCs w:val="28"/>
        </w:rPr>
        <w:t>行业</w:t>
      </w:r>
      <w:r>
        <w:rPr>
          <w:szCs w:val="28"/>
        </w:rPr>
        <w:t>区块链的应用，有效打通行业和系统之间的认知和技术屏障，防范应用风险，</w:t>
      </w:r>
      <w:r>
        <w:rPr>
          <w:rFonts w:hint="eastAsia"/>
          <w:szCs w:val="28"/>
        </w:rPr>
        <w:t>提升应用效果</w:t>
      </w:r>
      <w:r>
        <w:rPr>
          <w:szCs w:val="28"/>
        </w:rPr>
        <w:t>引导行业</w:t>
      </w:r>
      <w:bookmarkStart w:id="19" w:name="_Hlk89935253"/>
      <w:r>
        <w:rPr>
          <w:rFonts w:hint="eastAsia"/>
          <w:szCs w:val="28"/>
        </w:rPr>
        <w:t>有序、健康和长效</w:t>
      </w:r>
      <w:r>
        <w:rPr>
          <w:szCs w:val="28"/>
        </w:rPr>
        <w:t>发展</w:t>
      </w:r>
      <w:bookmarkEnd w:id="19"/>
      <w:r>
        <w:rPr>
          <w:rFonts w:hint="eastAsia"/>
          <w:szCs w:val="28"/>
        </w:rPr>
        <w:t>，引导产业集群优化升级，以科技创新推动服务变革，构建产业聚集所带来的规模经济、创新效益及良性竞争环境，加速形成以点带面，点面结合的示范推广效应</w:t>
      </w:r>
      <w:r>
        <w:rPr>
          <w:szCs w:val="28"/>
        </w:rPr>
        <w:t>。</w:t>
      </w:r>
    </w:p>
    <w:p w:rsidR="00155EA0" w:rsidRDefault="009549C5">
      <w:pPr>
        <w:spacing w:line="560" w:lineRule="exact"/>
        <w:ind w:firstLine="560"/>
        <w:jc w:val="left"/>
        <w:rPr>
          <w:szCs w:val="28"/>
        </w:rPr>
      </w:pPr>
      <w:r>
        <w:rPr>
          <w:rFonts w:hint="eastAsia"/>
          <w:szCs w:val="28"/>
        </w:rPr>
        <w:t>因此，</w:t>
      </w:r>
      <w:bookmarkStart w:id="20" w:name="_Hlk89935623"/>
      <w:r>
        <w:rPr>
          <w:rFonts w:hint="eastAsia"/>
          <w:szCs w:val="28"/>
        </w:rPr>
        <w:t>在数字经济蓬勃发展的背景下，推动行业区块链应用的有序、健康和长效发展，有必要及早推动开展区块链的地方性标准化工作，尤其是加快推进底层</w:t>
      </w:r>
      <w:r>
        <w:rPr>
          <w:szCs w:val="28"/>
        </w:rPr>
        <w:t>平台</w:t>
      </w:r>
      <w:r>
        <w:rPr>
          <w:rFonts w:hint="eastAsia"/>
          <w:szCs w:val="28"/>
        </w:rPr>
        <w:t>部分标准的部署和制定工作，在为国家和国际积极做出贡献的同时，不断提升江苏区块链标准工作的话语权。</w:t>
      </w:r>
      <w:bookmarkEnd w:id="20"/>
    </w:p>
    <w:p w:rsidR="00155EA0" w:rsidRDefault="009549C5">
      <w:pPr>
        <w:pStyle w:val="2"/>
        <w:rPr>
          <w:rFonts w:ascii="宋体" w:hAnsi="宋体"/>
          <w:szCs w:val="28"/>
        </w:rPr>
      </w:pPr>
      <w:r>
        <w:rPr>
          <w:rFonts w:ascii="宋体" w:hAnsi="宋体" w:hint="eastAsia"/>
          <w:szCs w:val="28"/>
        </w:rPr>
        <w:t>2.2可行性</w:t>
      </w:r>
      <w:bookmarkEnd w:id="13"/>
      <w:bookmarkEnd w:id="14"/>
    </w:p>
    <w:p w:rsidR="00155EA0" w:rsidRDefault="009549C5">
      <w:pPr>
        <w:spacing w:line="560" w:lineRule="exact"/>
        <w:ind w:firstLine="562"/>
        <w:jc w:val="left"/>
        <w:outlineLvl w:val="2"/>
        <w:rPr>
          <w:b/>
          <w:bCs/>
          <w:szCs w:val="28"/>
          <w:lang w:eastAsia="zh-Hans"/>
        </w:rPr>
      </w:pPr>
      <w:r>
        <w:rPr>
          <w:b/>
          <w:bCs/>
          <w:szCs w:val="28"/>
          <w:lang w:eastAsia="zh-Hans"/>
        </w:rPr>
        <w:lastRenderedPageBreak/>
        <w:t>2.2.1</w:t>
      </w:r>
      <w:r>
        <w:rPr>
          <w:rFonts w:hint="eastAsia"/>
          <w:b/>
          <w:bCs/>
          <w:szCs w:val="28"/>
          <w:lang w:eastAsia="zh-Hans"/>
        </w:rPr>
        <w:t>相关</w:t>
      </w:r>
      <w:r>
        <w:rPr>
          <w:b/>
          <w:bCs/>
          <w:szCs w:val="28"/>
          <w:lang w:eastAsia="zh-Hans"/>
        </w:rPr>
        <w:t>研究基础</w:t>
      </w:r>
      <w:r>
        <w:rPr>
          <w:rFonts w:hint="eastAsia"/>
          <w:b/>
          <w:bCs/>
          <w:szCs w:val="28"/>
          <w:lang w:eastAsia="zh-Hans"/>
        </w:rPr>
        <w:t>综述</w:t>
      </w:r>
    </w:p>
    <w:p w:rsidR="00155EA0" w:rsidRDefault="009549C5">
      <w:pPr>
        <w:spacing w:line="560" w:lineRule="exact"/>
        <w:ind w:firstLine="560"/>
        <w:jc w:val="left"/>
        <w:rPr>
          <w:szCs w:val="28"/>
        </w:rPr>
      </w:pPr>
      <w:bookmarkStart w:id="21" w:name="_Hlk153462406"/>
      <w:r>
        <w:rPr>
          <w:rFonts w:hint="eastAsia"/>
          <w:bCs/>
          <w:szCs w:val="28"/>
        </w:rPr>
        <w:t>国内区块链相关标准从国家到行业到地方正在加速发布。</w:t>
      </w:r>
      <w:r>
        <w:rPr>
          <w:rFonts w:hint="eastAsia"/>
          <w:bCs/>
          <w:szCs w:val="28"/>
        </w:rPr>
        <w:t>2</w:t>
      </w:r>
      <w:r>
        <w:rPr>
          <w:bCs/>
          <w:szCs w:val="28"/>
        </w:rPr>
        <w:t>016</w:t>
      </w:r>
      <w:r>
        <w:rPr>
          <w:rFonts w:hint="eastAsia"/>
          <w:bCs/>
          <w:szCs w:val="28"/>
        </w:rPr>
        <w:t>年还是一片空白，</w:t>
      </w:r>
      <w:r>
        <w:rPr>
          <w:szCs w:val="28"/>
        </w:rPr>
        <w:t>截至</w:t>
      </w:r>
      <w:r>
        <w:rPr>
          <w:szCs w:val="28"/>
        </w:rPr>
        <w:t>2021</w:t>
      </w:r>
      <w:r>
        <w:rPr>
          <w:szCs w:val="28"/>
        </w:rPr>
        <w:t>年</w:t>
      </w:r>
      <w:r>
        <w:rPr>
          <w:szCs w:val="28"/>
        </w:rPr>
        <w:t>12</w:t>
      </w:r>
      <w:r>
        <w:rPr>
          <w:szCs w:val="28"/>
        </w:rPr>
        <w:t>月，区块链</w:t>
      </w:r>
      <w:r>
        <w:rPr>
          <w:szCs w:val="28"/>
        </w:rPr>
        <w:t>/</w:t>
      </w:r>
      <w:r>
        <w:rPr>
          <w:szCs w:val="28"/>
        </w:rPr>
        <w:t>分布式账本技术已发布行业标准</w:t>
      </w:r>
      <w:r>
        <w:rPr>
          <w:szCs w:val="28"/>
        </w:rPr>
        <w:t>4</w:t>
      </w:r>
      <w:r>
        <w:rPr>
          <w:szCs w:val="28"/>
        </w:rPr>
        <w:t>项、省级地方标准</w:t>
      </w:r>
      <w:r>
        <w:rPr>
          <w:szCs w:val="28"/>
        </w:rPr>
        <w:t>16</w:t>
      </w:r>
      <w:r>
        <w:rPr>
          <w:szCs w:val="28"/>
        </w:rPr>
        <w:t>项、团体标准</w:t>
      </w:r>
      <w:r>
        <w:rPr>
          <w:szCs w:val="28"/>
        </w:rPr>
        <w:t>34</w:t>
      </w:r>
      <w:r>
        <w:rPr>
          <w:szCs w:val="28"/>
        </w:rPr>
        <w:t>项。虽未正式发布任何一项国家标准，但有</w:t>
      </w:r>
      <w:r>
        <w:rPr>
          <w:szCs w:val="28"/>
        </w:rPr>
        <w:t>8</w:t>
      </w:r>
      <w:r>
        <w:rPr>
          <w:szCs w:val="28"/>
        </w:rPr>
        <w:t>项正在加紧起草中，涉及参考架构、智能合约和存证。而这三个方面也是区块链的发展基础和当前主要应用方向。省级地方标准中湖南</w:t>
      </w:r>
      <w:r>
        <w:rPr>
          <w:szCs w:val="28"/>
        </w:rPr>
        <w:t>6</w:t>
      </w:r>
      <w:r>
        <w:rPr>
          <w:szCs w:val="28"/>
        </w:rPr>
        <w:t>项，贵州</w:t>
      </w:r>
      <w:r>
        <w:rPr>
          <w:szCs w:val="28"/>
        </w:rPr>
        <w:t>4</w:t>
      </w:r>
      <w:r>
        <w:rPr>
          <w:szCs w:val="28"/>
        </w:rPr>
        <w:t>项，</w:t>
      </w:r>
      <w:r>
        <w:rPr>
          <w:rFonts w:hint="eastAsia"/>
          <w:szCs w:val="28"/>
        </w:rPr>
        <w:t>山东省</w:t>
      </w:r>
      <w:r>
        <w:rPr>
          <w:rFonts w:hint="eastAsia"/>
          <w:szCs w:val="28"/>
        </w:rPr>
        <w:t>2</w:t>
      </w:r>
      <w:r>
        <w:rPr>
          <w:rFonts w:hint="eastAsia"/>
          <w:szCs w:val="28"/>
        </w:rPr>
        <w:t>项，重庆市</w:t>
      </w:r>
      <w:r>
        <w:rPr>
          <w:rFonts w:hint="eastAsia"/>
          <w:szCs w:val="28"/>
        </w:rPr>
        <w:t>2</w:t>
      </w:r>
      <w:r>
        <w:rPr>
          <w:rFonts w:hint="eastAsia"/>
          <w:szCs w:val="28"/>
        </w:rPr>
        <w:t>项，浙江省</w:t>
      </w:r>
      <w:r>
        <w:rPr>
          <w:rFonts w:hint="eastAsia"/>
          <w:szCs w:val="28"/>
        </w:rPr>
        <w:t>1</w:t>
      </w:r>
      <w:r>
        <w:rPr>
          <w:rFonts w:hint="eastAsia"/>
          <w:szCs w:val="28"/>
        </w:rPr>
        <w:t>项，深圳市</w:t>
      </w:r>
      <w:r>
        <w:rPr>
          <w:rFonts w:hint="eastAsia"/>
          <w:szCs w:val="28"/>
        </w:rPr>
        <w:t>1</w:t>
      </w:r>
      <w:r>
        <w:rPr>
          <w:rFonts w:hint="eastAsia"/>
          <w:szCs w:val="28"/>
        </w:rPr>
        <w:t>项，</w:t>
      </w:r>
      <w:r>
        <w:rPr>
          <w:szCs w:val="28"/>
        </w:rPr>
        <w:t>标准范围涉及安全标准、业务标准和应用标准。</w:t>
      </w:r>
    </w:p>
    <w:p w:rsidR="00155EA0" w:rsidRDefault="009549C5">
      <w:pPr>
        <w:spacing w:line="560" w:lineRule="exact"/>
        <w:ind w:firstLine="560"/>
        <w:jc w:val="left"/>
        <w:rPr>
          <w:bCs/>
          <w:szCs w:val="28"/>
        </w:rPr>
      </w:pPr>
      <w:r>
        <w:rPr>
          <w:bCs/>
          <w:szCs w:val="28"/>
        </w:rPr>
        <w:fldChar w:fldCharType="begin"/>
      </w:r>
      <w:r>
        <w:rPr>
          <w:bCs/>
          <w:szCs w:val="28"/>
        </w:rPr>
        <w:instrText xml:space="preserve"> </w:instrText>
      </w:r>
      <w:r>
        <w:rPr>
          <w:rFonts w:hint="eastAsia"/>
          <w:bCs/>
          <w:szCs w:val="28"/>
        </w:rPr>
        <w:instrText>= 1 \* GB3</w:instrText>
      </w:r>
      <w:r>
        <w:rPr>
          <w:bCs/>
          <w:szCs w:val="28"/>
        </w:rPr>
        <w:instrText xml:space="preserve"> </w:instrText>
      </w:r>
      <w:r>
        <w:rPr>
          <w:bCs/>
          <w:szCs w:val="28"/>
        </w:rPr>
        <w:fldChar w:fldCharType="separate"/>
      </w:r>
      <w:r>
        <w:rPr>
          <w:rFonts w:hint="eastAsia"/>
          <w:bCs/>
          <w:szCs w:val="28"/>
        </w:rPr>
        <w:t>①</w:t>
      </w:r>
      <w:r>
        <w:rPr>
          <w:bCs/>
          <w:szCs w:val="28"/>
        </w:rPr>
        <w:fldChar w:fldCharType="end"/>
      </w:r>
      <w:r>
        <w:rPr>
          <w:bCs/>
          <w:szCs w:val="28"/>
        </w:rPr>
        <w:t>国标计划：</w:t>
      </w:r>
    </w:p>
    <w:p w:rsidR="00155EA0" w:rsidRDefault="009549C5">
      <w:pPr>
        <w:spacing w:line="560" w:lineRule="exact"/>
        <w:ind w:firstLine="560"/>
        <w:jc w:val="left"/>
        <w:rPr>
          <w:bCs/>
          <w:szCs w:val="28"/>
        </w:rPr>
      </w:pPr>
      <w:r>
        <w:rPr>
          <w:bCs/>
          <w:szCs w:val="28"/>
        </w:rPr>
        <w:t>目前已有八项标准</w:t>
      </w:r>
      <w:r>
        <w:rPr>
          <w:rFonts w:hint="eastAsia"/>
          <w:bCs/>
          <w:szCs w:val="28"/>
        </w:rPr>
        <w:t>跻身</w:t>
      </w:r>
      <w:r>
        <w:rPr>
          <w:bCs/>
          <w:szCs w:val="28"/>
        </w:rPr>
        <w:t>国家标准立项</w:t>
      </w:r>
    </w:p>
    <w:p w:rsidR="00155EA0" w:rsidRDefault="009549C5">
      <w:pPr>
        <w:numPr>
          <w:ilvl w:val="0"/>
          <w:numId w:val="18"/>
        </w:numPr>
        <w:autoSpaceDE w:val="0"/>
        <w:autoSpaceDN w:val="0"/>
        <w:snapToGrid w:val="0"/>
        <w:spacing w:line="560" w:lineRule="exact"/>
        <w:ind w:left="0" w:firstLineChars="0" w:firstLine="480"/>
        <w:jc w:val="left"/>
        <w:rPr>
          <w:bCs/>
          <w:szCs w:val="28"/>
        </w:rPr>
      </w:pPr>
      <w:r>
        <w:rPr>
          <w:bCs/>
          <w:szCs w:val="28"/>
        </w:rPr>
        <w:t xml:space="preserve">20213310-T-469 </w:t>
      </w:r>
      <w:r>
        <w:rPr>
          <w:bCs/>
          <w:szCs w:val="28"/>
        </w:rPr>
        <w:t>信息技术</w:t>
      </w:r>
      <w:r>
        <w:rPr>
          <w:bCs/>
          <w:szCs w:val="28"/>
        </w:rPr>
        <w:t xml:space="preserve"> </w:t>
      </w:r>
      <w:r>
        <w:rPr>
          <w:bCs/>
          <w:szCs w:val="28"/>
        </w:rPr>
        <w:t>区块链和分布式记账技术</w:t>
      </w:r>
      <w:r>
        <w:rPr>
          <w:bCs/>
          <w:szCs w:val="28"/>
        </w:rPr>
        <w:t xml:space="preserve"> </w:t>
      </w:r>
      <w:r>
        <w:rPr>
          <w:bCs/>
          <w:szCs w:val="28"/>
        </w:rPr>
        <w:t>系统测试要求</w:t>
      </w:r>
    </w:p>
    <w:p w:rsidR="00155EA0" w:rsidRDefault="009549C5">
      <w:pPr>
        <w:numPr>
          <w:ilvl w:val="0"/>
          <w:numId w:val="18"/>
        </w:numPr>
        <w:autoSpaceDE w:val="0"/>
        <w:autoSpaceDN w:val="0"/>
        <w:snapToGrid w:val="0"/>
        <w:spacing w:line="560" w:lineRule="exact"/>
        <w:ind w:left="0" w:firstLineChars="0" w:firstLine="480"/>
        <w:jc w:val="left"/>
        <w:rPr>
          <w:bCs/>
          <w:szCs w:val="28"/>
        </w:rPr>
      </w:pPr>
      <w:r>
        <w:rPr>
          <w:bCs/>
          <w:szCs w:val="28"/>
        </w:rPr>
        <w:t xml:space="preserve">20213307-T-469 </w:t>
      </w:r>
      <w:r>
        <w:rPr>
          <w:bCs/>
          <w:szCs w:val="28"/>
        </w:rPr>
        <w:t>信息技术</w:t>
      </w:r>
      <w:r>
        <w:rPr>
          <w:bCs/>
          <w:szCs w:val="28"/>
        </w:rPr>
        <w:t xml:space="preserve"> </w:t>
      </w:r>
      <w:r>
        <w:rPr>
          <w:bCs/>
          <w:szCs w:val="28"/>
        </w:rPr>
        <w:t>区块链应用服务中间件</w:t>
      </w:r>
      <w:r>
        <w:rPr>
          <w:bCs/>
          <w:szCs w:val="28"/>
        </w:rPr>
        <w:t xml:space="preserve"> </w:t>
      </w:r>
      <w:r>
        <w:rPr>
          <w:bCs/>
          <w:szCs w:val="28"/>
        </w:rPr>
        <w:t>参考架构</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20210998-T-469 </w:t>
      </w:r>
      <w:r>
        <w:rPr>
          <w:szCs w:val="28"/>
        </w:rPr>
        <w:t>信息安全技术</w:t>
      </w:r>
      <w:r>
        <w:rPr>
          <w:szCs w:val="28"/>
        </w:rPr>
        <w:t xml:space="preserve"> </w:t>
      </w:r>
      <w:r>
        <w:rPr>
          <w:szCs w:val="28"/>
        </w:rPr>
        <w:t>区块链技术安全框架</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20210991-T-469 </w:t>
      </w:r>
      <w:r>
        <w:rPr>
          <w:szCs w:val="28"/>
        </w:rPr>
        <w:t>信息安全技术</w:t>
      </w:r>
      <w:r>
        <w:rPr>
          <w:szCs w:val="28"/>
        </w:rPr>
        <w:t xml:space="preserve"> </w:t>
      </w:r>
      <w:r>
        <w:rPr>
          <w:szCs w:val="28"/>
        </w:rPr>
        <w:t>区块链信息服务安全规范</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20210929-T-469 </w:t>
      </w:r>
      <w:r>
        <w:rPr>
          <w:szCs w:val="28"/>
        </w:rPr>
        <w:t>信息技术</w:t>
      </w:r>
      <w:r>
        <w:rPr>
          <w:szCs w:val="28"/>
        </w:rPr>
        <w:t xml:space="preserve"> </w:t>
      </w:r>
      <w:r>
        <w:rPr>
          <w:szCs w:val="28"/>
        </w:rPr>
        <w:t>区块链和分布式记账技术</w:t>
      </w:r>
      <w:r>
        <w:rPr>
          <w:szCs w:val="28"/>
        </w:rPr>
        <w:t xml:space="preserve"> </w:t>
      </w:r>
      <w:r>
        <w:rPr>
          <w:szCs w:val="28"/>
        </w:rPr>
        <w:t>术语</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20201612-T-469 </w:t>
      </w:r>
      <w:r>
        <w:rPr>
          <w:szCs w:val="28"/>
        </w:rPr>
        <w:t>信息技术</w:t>
      </w:r>
      <w:r>
        <w:rPr>
          <w:szCs w:val="28"/>
        </w:rPr>
        <w:t xml:space="preserve"> </w:t>
      </w:r>
      <w:r>
        <w:rPr>
          <w:szCs w:val="28"/>
        </w:rPr>
        <w:t>区块链和分布式记账技术</w:t>
      </w:r>
      <w:r>
        <w:rPr>
          <w:szCs w:val="28"/>
        </w:rPr>
        <w:t xml:space="preserve"> </w:t>
      </w:r>
      <w:r>
        <w:rPr>
          <w:szCs w:val="28"/>
        </w:rPr>
        <w:t>存证应用指南</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20201615-T-469 </w:t>
      </w:r>
      <w:r>
        <w:rPr>
          <w:szCs w:val="28"/>
        </w:rPr>
        <w:t>信息技术</w:t>
      </w:r>
      <w:r>
        <w:rPr>
          <w:szCs w:val="28"/>
        </w:rPr>
        <w:t xml:space="preserve"> </w:t>
      </w:r>
      <w:r>
        <w:rPr>
          <w:szCs w:val="28"/>
        </w:rPr>
        <w:t>区块链和分布式记账技术</w:t>
      </w:r>
      <w:r>
        <w:rPr>
          <w:szCs w:val="28"/>
        </w:rPr>
        <w:t xml:space="preserve"> </w:t>
      </w:r>
      <w:r>
        <w:rPr>
          <w:szCs w:val="28"/>
        </w:rPr>
        <w:t>智能合约实施规范</w:t>
      </w:r>
    </w:p>
    <w:p w:rsidR="00155EA0" w:rsidRDefault="009549C5">
      <w:pPr>
        <w:numPr>
          <w:ilvl w:val="0"/>
          <w:numId w:val="18"/>
        </w:numPr>
        <w:autoSpaceDE w:val="0"/>
        <w:autoSpaceDN w:val="0"/>
        <w:snapToGrid w:val="0"/>
        <w:spacing w:line="560" w:lineRule="exact"/>
        <w:ind w:left="0" w:firstLineChars="0" w:firstLine="480"/>
        <w:jc w:val="left"/>
        <w:rPr>
          <w:szCs w:val="28"/>
        </w:rPr>
      </w:pPr>
      <w:r>
        <w:rPr>
          <w:szCs w:val="28"/>
        </w:rPr>
        <w:t xml:space="preserve">20173824-T-469 </w:t>
      </w:r>
      <w:r>
        <w:rPr>
          <w:szCs w:val="28"/>
        </w:rPr>
        <w:t>信息技术</w:t>
      </w:r>
      <w:r>
        <w:rPr>
          <w:szCs w:val="28"/>
        </w:rPr>
        <w:t xml:space="preserve"> </w:t>
      </w:r>
      <w:r>
        <w:rPr>
          <w:szCs w:val="28"/>
        </w:rPr>
        <w:t>区块链和分布式账本技术</w:t>
      </w:r>
      <w:r>
        <w:rPr>
          <w:szCs w:val="28"/>
        </w:rPr>
        <w:t xml:space="preserve"> </w:t>
      </w:r>
      <w:r>
        <w:rPr>
          <w:szCs w:val="28"/>
        </w:rPr>
        <w:t>参考架构</w:t>
      </w:r>
    </w:p>
    <w:p w:rsidR="00155EA0" w:rsidRDefault="009549C5">
      <w:pPr>
        <w:spacing w:line="560" w:lineRule="exact"/>
        <w:ind w:firstLine="560"/>
        <w:jc w:val="left"/>
        <w:rPr>
          <w:szCs w:val="28"/>
        </w:rPr>
      </w:pPr>
      <w:r>
        <w:rPr>
          <w:bCs/>
          <w:szCs w:val="28"/>
        </w:rPr>
        <w:fldChar w:fldCharType="begin"/>
      </w:r>
      <w:r>
        <w:rPr>
          <w:bCs/>
          <w:szCs w:val="28"/>
        </w:rPr>
        <w:instrText xml:space="preserve"> </w:instrText>
      </w:r>
      <w:r>
        <w:rPr>
          <w:rFonts w:hint="eastAsia"/>
          <w:bCs/>
          <w:szCs w:val="28"/>
        </w:rPr>
        <w:instrText>= 2 \* GB3</w:instrText>
      </w:r>
      <w:r>
        <w:rPr>
          <w:bCs/>
          <w:szCs w:val="28"/>
        </w:rPr>
        <w:instrText xml:space="preserve"> </w:instrText>
      </w:r>
      <w:r>
        <w:rPr>
          <w:bCs/>
          <w:szCs w:val="28"/>
        </w:rPr>
        <w:fldChar w:fldCharType="separate"/>
      </w:r>
      <w:r>
        <w:rPr>
          <w:rFonts w:hint="eastAsia"/>
          <w:bCs/>
          <w:szCs w:val="28"/>
        </w:rPr>
        <w:t>②</w:t>
      </w:r>
      <w:r>
        <w:rPr>
          <w:bCs/>
          <w:szCs w:val="28"/>
        </w:rPr>
        <w:fldChar w:fldCharType="end"/>
      </w:r>
      <w:r>
        <w:rPr>
          <w:szCs w:val="28"/>
        </w:rPr>
        <w:t>行业标准：</w:t>
      </w:r>
    </w:p>
    <w:p w:rsidR="00155EA0" w:rsidRDefault="009549C5">
      <w:pPr>
        <w:numPr>
          <w:ilvl w:val="0"/>
          <w:numId w:val="19"/>
        </w:numPr>
        <w:autoSpaceDE w:val="0"/>
        <w:autoSpaceDN w:val="0"/>
        <w:snapToGrid w:val="0"/>
        <w:spacing w:line="560" w:lineRule="exact"/>
        <w:ind w:firstLineChars="0" w:firstLine="480"/>
        <w:jc w:val="left"/>
        <w:rPr>
          <w:szCs w:val="28"/>
        </w:rPr>
      </w:pPr>
      <w:r>
        <w:rPr>
          <w:szCs w:val="28"/>
        </w:rPr>
        <w:lastRenderedPageBreak/>
        <w:t xml:space="preserve">YD/T 3905-2021  </w:t>
      </w:r>
      <w:r>
        <w:rPr>
          <w:szCs w:val="28"/>
        </w:rPr>
        <w:t>基于区块链技术的去中心化物联网业务平台框架</w:t>
      </w:r>
    </w:p>
    <w:p w:rsidR="00155EA0" w:rsidRDefault="009549C5">
      <w:pPr>
        <w:numPr>
          <w:ilvl w:val="0"/>
          <w:numId w:val="19"/>
        </w:numPr>
        <w:autoSpaceDE w:val="0"/>
        <w:autoSpaceDN w:val="0"/>
        <w:snapToGrid w:val="0"/>
        <w:spacing w:line="560" w:lineRule="exact"/>
        <w:ind w:firstLineChars="0" w:firstLine="480"/>
        <w:jc w:val="left"/>
        <w:rPr>
          <w:szCs w:val="28"/>
        </w:rPr>
      </w:pPr>
      <w:r>
        <w:rPr>
          <w:szCs w:val="28"/>
        </w:rPr>
        <w:t xml:space="preserve">YD/T 3747-2020  </w:t>
      </w:r>
      <w:r>
        <w:rPr>
          <w:szCs w:val="28"/>
        </w:rPr>
        <w:t>区块链技术架构安全要求</w:t>
      </w:r>
    </w:p>
    <w:p w:rsidR="00155EA0" w:rsidRDefault="009549C5">
      <w:pPr>
        <w:numPr>
          <w:ilvl w:val="0"/>
          <w:numId w:val="19"/>
        </w:numPr>
        <w:autoSpaceDE w:val="0"/>
        <w:autoSpaceDN w:val="0"/>
        <w:snapToGrid w:val="0"/>
        <w:spacing w:line="560" w:lineRule="exact"/>
        <w:ind w:firstLineChars="0" w:firstLine="480"/>
        <w:jc w:val="left"/>
        <w:rPr>
          <w:szCs w:val="28"/>
        </w:rPr>
      </w:pPr>
      <w:r>
        <w:rPr>
          <w:szCs w:val="28"/>
        </w:rPr>
        <w:t xml:space="preserve">JR/T 0193-2020  </w:t>
      </w:r>
      <w:r>
        <w:rPr>
          <w:szCs w:val="28"/>
        </w:rPr>
        <w:t>区块链技术金融应用</w:t>
      </w:r>
      <w:r>
        <w:rPr>
          <w:szCs w:val="28"/>
        </w:rPr>
        <w:t xml:space="preserve"> </w:t>
      </w:r>
      <w:r>
        <w:rPr>
          <w:szCs w:val="28"/>
        </w:rPr>
        <w:t>评估规则</w:t>
      </w:r>
    </w:p>
    <w:p w:rsidR="00155EA0" w:rsidRDefault="009549C5">
      <w:pPr>
        <w:numPr>
          <w:ilvl w:val="0"/>
          <w:numId w:val="19"/>
        </w:numPr>
        <w:autoSpaceDE w:val="0"/>
        <w:autoSpaceDN w:val="0"/>
        <w:snapToGrid w:val="0"/>
        <w:spacing w:line="560" w:lineRule="exact"/>
        <w:ind w:firstLineChars="0" w:firstLine="480"/>
        <w:jc w:val="left"/>
        <w:rPr>
          <w:szCs w:val="28"/>
        </w:rPr>
      </w:pPr>
      <w:r>
        <w:rPr>
          <w:rFonts w:hint="eastAsia"/>
          <w:szCs w:val="28"/>
        </w:rPr>
        <w:t>JR/T 0184-2020</w:t>
      </w:r>
      <w:r>
        <w:rPr>
          <w:rFonts w:hint="eastAsia"/>
          <w:szCs w:val="28"/>
        </w:rPr>
        <w:t>金融分布式账本技术安全规范</w:t>
      </w:r>
    </w:p>
    <w:p w:rsidR="00155EA0" w:rsidRDefault="009549C5">
      <w:pPr>
        <w:numPr>
          <w:ilvl w:val="0"/>
          <w:numId w:val="19"/>
        </w:numPr>
        <w:autoSpaceDE w:val="0"/>
        <w:autoSpaceDN w:val="0"/>
        <w:snapToGrid w:val="0"/>
        <w:spacing w:line="560" w:lineRule="exact"/>
        <w:ind w:firstLineChars="0" w:firstLine="480"/>
        <w:jc w:val="left"/>
        <w:rPr>
          <w:szCs w:val="28"/>
        </w:rPr>
      </w:pPr>
      <w:r>
        <w:rPr>
          <w:rFonts w:hint="eastAsia"/>
          <w:szCs w:val="28"/>
        </w:rPr>
        <w:t>《区域性股权市场区块链</w:t>
      </w:r>
      <w:r>
        <w:rPr>
          <w:szCs w:val="28"/>
        </w:rPr>
        <w:t>平台</w:t>
      </w:r>
      <w:r>
        <w:rPr>
          <w:rFonts w:hint="eastAsia"/>
          <w:szCs w:val="28"/>
        </w:rPr>
        <w:t>参考架构规范》、《区域性股权市场区块链跨链技术规范》、《区域性股权市场跨链安全规范》、《区域性股权市场跨链数据规范》正式在证标委立项</w:t>
      </w:r>
      <w:r>
        <w:rPr>
          <w:szCs w:val="28"/>
        </w:rPr>
        <w:t>。</w:t>
      </w:r>
    </w:p>
    <w:p w:rsidR="00155EA0" w:rsidRDefault="009549C5">
      <w:pPr>
        <w:spacing w:line="560" w:lineRule="exact"/>
        <w:ind w:left="470" w:firstLineChars="0" w:firstLine="0"/>
        <w:jc w:val="left"/>
        <w:rPr>
          <w:szCs w:val="28"/>
        </w:rPr>
      </w:pPr>
      <w:r>
        <w:rPr>
          <w:szCs w:val="28"/>
        </w:rPr>
        <w:t>…………</w:t>
      </w:r>
    </w:p>
    <w:p w:rsidR="00155EA0" w:rsidRDefault="009549C5">
      <w:pPr>
        <w:spacing w:line="560" w:lineRule="exact"/>
        <w:ind w:left="470" w:firstLineChars="0" w:firstLine="0"/>
        <w:jc w:val="left"/>
        <w:rPr>
          <w:szCs w:val="28"/>
        </w:rPr>
      </w:pPr>
      <w:r>
        <w:rPr>
          <w:bCs/>
          <w:szCs w:val="28"/>
        </w:rPr>
        <w:fldChar w:fldCharType="begin"/>
      </w:r>
      <w:r>
        <w:rPr>
          <w:bCs/>
          <w:szCs w:val="28"/>
        </w:rPr>
        <w:instrText xml:space="preserve"> </w:instrText>
      </w:r>
      <w:r>
        <w:rPr>
          <w:rFonts w:hint="eastAsia"/>
          <w:bCs/>
          <w:szCs w:val="28"/>
        </w:rPr>
        <w:instrText>= 3 \* GB3</w:instrText>
      </w:r>
      <w:r>
        <w:rPr>
          <w:bCs/>
          <w:szCs w:val="28"/>
        </w:rPr>
        <w:instrText xml:space="preserve"> </w:instrText>
      </w:r>
      <w:r>
        <w:rPr>
          <w:bCs/>
          <w:szCs w:val="28"/>
        </w:rPr>
        <w:fldChar w:fldCharType="separate"/>
      </w:r>
      <w:r>
        <w:rPr>
          <w:rFonts w:hint="eastAsia"/>
          <w:bCs/>
          <w:szCs w:val="28"/>
        </w:rPr>
        <w:t>③</w:t>
      </w:r>
      <w:r>
        <w:rPr>
          <w:bCs/>
          <w:szCs w:val="28"/>
        </w:rPr>
        <w:fldChar w:fldCharType="end"/>
      </w:r>
      <w:r>
        <w:rPr>
          <w:rFonts w:hint="eastAsia"/>
          <w:szCs w:val="28"/>
        </w:rPr>
        <w:t>地方标准：</w:t>
      </w:r>
    </w:p>
    <w:p w:rsidR="00155EA0" w:rsidRDefault="009549C5">
      <w:pPr>
        <w:numPr>
          <w:ilvl w:val="0"/>
          <w:numId w:val="20"/>
        </w:numPr>
        <w:autoSpaceDE w:val="0"/>
        <w:autoSpaceDN w:val="0"/>
        <w:snapToGrid w:val="0"/>
        <w:spacing w:line="560" w:lineRule="exact"/>
        <w:ind w:firstLineChars="0"/>
        <w:jc w:val="left"/>
        <w:rPr>
          <w:szCs w:val="28"/>
        </w:rPr>
      </w:pPr>
      <w:r>
        <w:rPr>
          <w:rFonts w:hint="eastAsia"/>
          <w:szCs w:val="28"/>
        </w:rPr>
        <w:t>浙江省</w:t>
      </w:r>
      <w:r>
        <w:rPr>
          <w:rFonts w:hint="eastAsia"/>
          <w:szCs w:val="28"/>
        </w:rPr>
        <w:t xml:space="preserve"> </w:t>
      </w:r>
      <w:r>
        <w:rPr>
          <w:szCs w:val="28"/>
        </w:rPr>
        <w:t xml:space="preserve">DB33/T2382-2021 </w:t>
      </w:r>
      <w:r>
        <w:rPr>
          <w:rFonts w:hint="eastAsia"/>
          <w:szCs w:val="28"/>
        </w:rPr>
        <w:t>财政电子票据区块链技术应用规范</w:t>
      </w:r>
    </w:p>
    <w:p w:rsidR="00155EA0" w:rsidRDefault="009549C5">
      <w:pPr>
        <w:numPr>
          <w:ilvl w:val="0"/>
          <w:numId w:val="20"/>
        </w:numPr>
        <w:autoSpaceDE w:val="0"/>
        <w:autoSpaceDN w:val="0"/>
        <w:snapToGrid w:val="0"/>
        <w:spacing w:line="560" w:lineRule="exact"/>
        <w:ind w:firstLineChars="0"/>
        <w:jc w:val="left"/>
        <w:rPr>
          <w:szCs w:val="28"/>
        </w:rPr>
      </w:pPr>
      <w:r>
        <w:rPr>
          <w:rFonts w:hint="eastAsia"/>
          <w:szCs w:val="28"/>
        </w:rPr>
        <w:t>深圳市</w:t>
      </w:r>
      <w:r>
        <w:rPr>
          <w:rFonts w:hint="eastAsia"/>
          <w:szCs w:val="28"/>
        </w:rPr>
        <w:t xml:space="preserve"> </w:t>
      </w:r>
      <w:r>
        <w:rPr>
          <w:szCs w:val="28"/>
        </w:rPr>
        <w:t xml:space="preserve">DB4403/T127-2020 </w:t>
      </w:r>
      <w:r>
        <w:rPr>
          <w:rFonts w:hint="eastAsia"/>
          <w:szCs w:val="28"/>
        </w:rPr>
        <w:t>金融行业区块链平台技术规范</w:t>
      </w:r>
    </w:p>
    <w:p w:rsidR="00155EA0" w:rsidRDefault="009549C5">
      <w:pPr>
        <w:numPr>
          <w:ilvl w:val="0"/>
          <w:numId w:val="20"/>
        </w:numPr>
        <w:autoSpaceDE w:val="0"/>
        <w:autoSpaceDN w:val="0"/>
        <w:snapToGrid w:val="0"/>
        <w:spacing w:line="560" w:lineRule="exact"/>
        <w:ind w:firstLineChars="0"/>
        <w:jc w:val="left"/>
        <w:rPr>
          <w:szCs w:val="28"/>
        </w:rPr>
      </w:pPr>
      <w:r>
        <w:rPr>
          <w:rFonts w:hint="eastAsia"/>
          <w:szCs w:val="28"/>
        </w:rPr>
        <w:t>贵州省</w:t>
      </w:r>
      <w:r>
        <w:rPr>
          <w:rFonts w:hint="eastAsia"/>
          <w:szCs w:val="28"/>
        </w:rPr>
        <w:t xml:space="preserve"> </w:t>
      </w:r>
      <w:r>
        <w:rPr>
          <w:szCs w:val="28"/>
        </w:rPr>
        <w:t xml:space="preserve">DB52/T1468-2019 </w:t>
      </w:r>
      <w:r>
        <w:rPr>
          <w:rFonts w:hint="eastAsia"/>
          <w:szCs w:val="28"/>
        </w:rPr>
        <w:t>基于区块链的数据资产交易实施指南</w:t>
      </w:r>
    </w:p>
    <w:p w:rsidR="00155EA0" w:rsidRDefault="009549C5">
      <w:pPr>
        <w:numPr>
          <w:ilvl w:val="0"/>
          <w:numId w:val="20"/>
        </w:numPr>
        <w:autoSpaceDE w:val="0"/>
        <w:autoSpaceDN w:val="0"/>
        <w:snapToGrid w:val="0"/>
        <w:spacing w:line="560" w:lineRule="exact"/>
        <w:ind w:firstLineChars="0"/>
        <w:jc w:val="left"/>
        <w:rPr>
          <w:szCs w:val="28"/>
        </w:rPr>
      </w:pPr>
      <w:r>
        <w:rPr>
          <w:rFonts w:hint="eastAsia"/>
          <w:szCs w:val="28"/>
        </w:rPr>
        <w:t>湖南省</w:t>
      </w:r>
      <w:r>
        <w:rPr>
          <w:rFonts w:hint="eastAsia"/>
          <w:szCs w:val="28"/>
        </w:rPr>
        <w:t xml:space="preserve"> </w:t>
      </w:r>
      <w:r>
        <w:rPr>
          <w:szCs w:val="28"/>
        </w:rPr>
        <w:t>DB43/T 1843-2020</w:t>
      </w:r>
      <w:r>
        <w:rPr>
          <w:rFonts w:hint="eastAsia"/>
          <w:szCs w:val="28"/>
        </w:rPr>
        <w:t>区块链数据安全技术测评标准</w:t>
      </w:r>
    </w:p>
    <w:p w:rsidR="00155EA0" w:rsidRDefault="009549C5">
      <w:pPr>
        <w:spacing w:line="560" w:lineRule="exact"/>
        <w:ind w:left="470" w:firstLineChars="0" w:firstLine="0"/>
        <w:jc w:val="left"/>
        <w:rPr>
          <w:szCs w:val="28"/>
        </w:rPr>
      </w:pPr>
      <w:r>
        <w:rPr>
          <w:szCs w:val="28"/>
        </w:rPr>
        <w:t>…………</w:t>
      </w:r>
    </w:p>
    <w:p w:rsidR="00155EA0" w:rsidRDefault="009549C5">
      <w:pPr>
        <w:spacing w:line="560" w:lineRule="exact"/>
        <w:ind w:firstLine="562"/>
        <w:jc w:val="left"/>
        <w:outlineLvl w:val="2"/>
        <w:rPr>
          <w:b/>
          <w:bCs/>
          <w:szCs w:val="28"/>
          <w:lang w:eastAsia="zh-Hans"/>
        </w:rPr>
      </w:pPr>
      <w:bookmarkStart w:id="22" w:name="_Hlk89934640"/>
      <w:bookmarkEnd w:id="21"/>
      <w:r>
        <w:rPr>
          <w:b/>
          <w:bCs/>
          <w:szCs w:val="28"/>
          <w:lang w:eastAsia="zh-Hans"/>
        </w:rPr>
        <w:t>2.2.2</w:t>
      </w:r>
      <w:r>
        <w:rPr>
          <w:rFonts w:hint="eastAsia"/>
          <w:b/>
          <w:bCs/>
          <w:szCs w:val="28"/>
          <w:lang w:eastAsia="zh-Hans"/>
        </w:rPr>
        <w:t>前期研究成果</w:t>
      </w:r>
    </w:p>
    <w:p w:rsidR="00155EA0" w:rsidRDefault="009549C5">
      <w:pPr>
        <w:spacing w:line="560" w:lineRule="exact"/>
        <w:ind w:firstLine="560"/>
        <w:jc w:val="left"/>
        <w:rPr>
          <w:szCs w:val="28"/>
        </w:rPr>
      </w:pPr>
      <w:r>
        <w:rPr>
          <w:szCs w:val="28"/>
        </w:rPr>
        <w:t>从目前已有的区块链标准体系主来看，主要包括：基础标准、可信和互操作标准、过程和方法标准、业务和应用标准、信息安全标准。目前区块链标准主要涉及</w:t>
      </w:r>
      <w:r>
        <w:rPr>
          <w:szCs w:val="28"/>
        </w:rPr>
        <w:t>“</w:t>
      </w:r>
      <w:r>
        <w:rPr>
          <w:szCs w:val="28"/>
        </w:rPr>
        <w:t>基础标准</w:t>
      </w:r>
      <w:r>
        <w:rPr>
          <w:szCs w:val="28"/>
        </w:rPr>
        <w:t>”</w:t>
      </w:r>
      <w:r>
        <w:rPr>
          <w:szCs w:val="28"/>
        </w:rPr>
        <w:t>、</w:t>
      </w:r>
      <w:r>
        <w:rPr>
          <w:szCs w:val="28"/>
        </w:rPr>
        <w:t>“</w:t>
      </w:r>
      <w:r>
        <w:rPr>
          <w:szCs w:val="28"/>
        </w:rPr>
        <w:t>可信和互操作标准</w:t>
      </w:r>
      <w:r>
        <w:rPr>
          <w:szCs w:val="28"/>
        </w:rPr>
        <w:t>”</w:t>
      </w:r>
      <w:r>
        <w:rPr>
          <w:szCs w:val="28"/>
        </w:rPr>
        <w:t>、</w:t>
      </w:r>
      <w:r>
        <w:rPr>
          <w:szCs w:val="28"/>
        </w:rPr>
        <w:t>“</w:t>
      </w:r>
      <w:r>
        <w:rPr>
          <w:szCs w:val="28"/>
        </w:rPr>
        <w:t>业务和应用标准</w:t>
      </w:r>
      <w:r>
        <w:rPr>
          <w:szCs w:val="28"/>
        </w:rPr>
        <w:t>”</w:t>
      </w:r>
      <w:r>
        <w:rPr>
          <w:szCs w:val="28"/>
        </w:rPr>
        <w:t>以及</w:t>
      </w:r>
      <w:r>
        <w:rPr>
          <w:szCs w:val="28"/>
        </w:rPr>
        <w:t>“</w:t>
      </w:r>
      <w:r>
        <w:rPr>
          <w:szCs w:val="28"/>
        </w:rPr>
        <w:t>信息安全标准</w:t>
      </w:r>
      <w:r>
        <w:rPr>
          <w:szCs w:val="28"/>
        </w:rPr>
        <w:t>”</w:t>
      </w:r>
      <w:r>
        <w:rPr>
          <w:szCs w:val="28"/>
        </w:rPr>
        <w:t>，</w:t>
      </w:r>
      <w:r>
        <w:rPr>
          <w:szCs w:val="28"/>
        </w:rPr>
        <w:t>“</w:t>
      </w:r>
      <w:r>
        <w:rPr>
          <w:szCs w:val="28"/>
        </w:rPr>
        <w:t>基础标准</w:t>
      </w:r>
      <w:r>
        <w:rPr>
          <w:szCs w:val="28"/>
        </w:rPr>
        <w:t>”</w:t>
      </w:r>
      <w:r>
        <w:rPr>
          <w:szCs w:val="28"/>
        </w:rPr>
        <w:t>和</w:t>
      </w:r>
      <w:r>
        <w:rPr>
          <w:szCs w:val="28"/>
        </w:rPr>
        <w:t>“</w:t>
      </w:r>
      <w:r>
        <w:rPr>
          <w:szCs w:val="28"/>
        </w:rPr>
        <w:t>应用标准</w:t>
      </w:r>
      <w:r>
        <w:rPr>
          <w:szCs w:val="28"/>
        </w:rPr>
        <w:t>”</w:t>
      </w:r>
      <w:r>
        <w:rPr>
          <w:szCs w:val="28"/>
        </w:rPr>
        <w:t>相对较多，</w:t>
      </w:r>
      <w:r>
        <w:rPr>
          <w:rFonts w:hint="eastAsia"/>
          <w:szCs w:val="28"/>
        </w:rPr>
        <w:t>而区块链与金融</w:t>
      </w:r>
      <w:r w:rsidR="0052241F">
        <w:rPr>
          <w:rFonts w:hint="eastAsia"/>
          <w:szCs w:val="28"/>
        </w:rPr>
        <w:t>、司法、医疗</w:t>
      </w:r>
      <w:r>
        <w:rPr>
          <w:rFonts w:hint="eastAsia"/>
          <w:szCs w:val="28"/>
        </w:rPr>
        <w:t>等具体行业结合的标准相对缺乏，</w:t>
      </w:r>
      <w:r>
        <w:rPr>
          <w:szCs w:val="28"/>
        </w:rPr>
        <w:t>区块链平台</w:t>
      </w:r>
      <w:r w:rsidR="0052241F">
        <w:rPr>
          <w:rFonts w:hint="eastAsia"/>
          <w:szCs w:val="28"/>
        </w:rPr>
        <w:t>选型</w:t>
      </w:r>
      <w:r>
        <w:rPr>
          <w:rFonts w:hint="eastAsia"/>
          <w:szCs w:val="28"/>
        </w:rPr>
        <w:t>的相关标准则还未有提出</w:t>
      </w:r>
      <w:r>
        <w:rPr>
          <w:szCs w:val="28"/>
        </w:rPr>
        <w:t>。</w:t>
      </w:r>
    </w:p>
    <w:p w:rsidR="00155EA0" w:rsidRDefault="009549C5">
      <w:pPr>
        <w:spacing w:line="560" w:lineRule="exact"/>
        <w:ind w:firstLine="560"/>
        <w:jc w:val="left"/>
        <w:rPr>
          <w:szCs w:val="28"/>
        </w:rPr>
      </w:pPr>
      <w:r>
        <w:rPr>
          <w:rFonts w:hint="eastAsia"/>
          <w:szCs w:val="28"/>
        </w:rPr>
        <w:lastRenderedPageBreak/>
        <w:t>基于这一考虑，南京数字金融产业研究院联合标准化单位（中国电子技术标准化研究院、江苏省电子信息产品质量监督检验研究院、江苏省质量与标准化研究院）、区块链技术企业（苏州同济区块链研究院有限公司、江苏通付盾科技有限公司、江苏荣泽信息科技股份有限公司、上海边界智能科技有限公司等）、金融机构（江苏常熟农村商业银行股份有限公司）、律师事务所（耀时跨境数据合规研究院）。约</w:t>
      </w:r>
      <w:r>
        <w:rPr>
          <w:rFonts w:hint="eastAsia"/>
          <w:szCs w:val="28"/>
        </w:rPr>
        <w:t>1</w:t>
      </w:r>
      <w:r>
        <w:rPr>
          <w:szCs w:val="28"/>
        </w:rPr>
        <w:t>5</w:t>
      </w:r>
      <w:r>
        <w:rPr>
          <w:rFonts w:hint="eastAsia"/>
          <w:szCs w:val="28"/>
        </w:rPr>
        <w:t>家单位于</w:t>
      </w:r>
      <w:r>
        <w:rPr>
          <w:rFonts w:hint="eastAsia"/>
          <w:szCs w:val="28"/>
        </w:rPr>
        <w:t>2</w:t>
      </w:r>
      <w:r>
        <w:rPr>
          <w:szCs w:val="28"/>
        </w:rPr>
        <w:t>020</w:t>
      </w:r>
      <w:r>
        <w:rPr>
          <w:rFonts w:hint="eastAsia"/>
          <w:szCs w:val="28"/>
        </w:rPr>
        <w:t>年已经开展了《金融行业区块链</w:t>
      </w:r>
      <w:r>
        <w:rPr>
          <w:szCs w:val="28"/>
        </w:rPr>
        <w:t>平台</w:t>
      </w:r>
      <w:r>
        <w:rPr>
          <w:rFonts w:hint="eastAsia"/>
          <w:szCs w:val="28"/>
        </w:rPr>
        <w:t>技术规范》的团体标准研究工作，充分考虑底层应用、安全规范与监管支持，致力于从金融业务与技术的创新融合中提取底层区块链</w:t>
      </w:r>
      <w:r>
        <w:rPr>
          <w:szCs w:val="28"/>
        </w:rPr>
        <w:t>平台</w:t>
      </w:r>
      <w:r>
        <w:rPr>
          <w:rFonts w:hint="eastAsia"/>
          <w:szCs w:val="28"/>
        </w:rPr>
        <w:t>的标准，本次标准申请基于前期研究工作开展。</w:t>
      </w:r>
    </w:p>
    <w:p w:rsidR="00155EA0" w:rsidRDefault="009549C5">
      <w:pPr>
        <w:spacing w:line="560" w:lineRule="exact"/>
        <w:ind w:firstLine="560"/>
        <w:jc w:val="left"/>
        <w:rPr>
          <w:szCs w:val="28"/>
        </w:rPr>
      </w:pPr>
      <w:r>
        <w:rPr>
          <w:rFonts w:hint="eastAsia"/>
          <w:szCs w:val="28"/>
        </w:rPr>
        <w:t>2</w:t>
      </w:r>
      <w:r>
        <w:rPr>
          <w:szCs w:val="28"/>
        </w:rPr>
        <w:t>020</w:t>
      </w:r>
      <w:r>
        <w:rPr>
          <w:rFonts w:hint="eastAsia"/>
          <w:szCs w:val="28"/>
        </w:rPr>
        <w:t>年</w:t>
      </w:r>
      <w:r>
        <w:rPr>
          <w:rFonts w:hint="eastAsia"/>
          <w:szCs w:val="28"/>
        </w:rPr>
        <w:t>2</w:t>
      </w:r>
      <w:r>
        <w:rPr>
          <w:rFonts w:hint="eastAsia"/>
          <w:szCs w:val="28"/>
        </w:rPr>
        <w:t>月</w:t>
      </w:r>
      <w:r>
        <w:rPr>
          <w:rFonts w:hint="eastAsia"/>
          <w:szCs w:val="28"/>
        </w:rPr>
        <w:t>2</w:t>
      </w:r>
      <w:r>
        <w:rPr>
          <w:szCs w:val="28"/>
        </w:rPr>
        <w:t>8</w:t>
      </w:r>
      <w:r>
        <w:rPr>
          <w:rFonts w:hint="eastAsia"/>
          <w:szCs w:val="28"/>
        </w:rPr>
        <w:t>日，苏州同济区块链研究院有限公司、南京数字金融产业研究院公司、江苏现代低碳技术研究院、江苏现代气候交易中心、苏州科技大学、西交利物浦大学等</w:t>
      </w:r>
      <w:r>
        <w:rPr>
          <w:rFonts w:hint="eastAsia"/>
          <w:szCs w:val="28"/>
        </w:rPr>
        <w:t>1</w:t>
      </w:r>
      <w:r>
        <w:rPr>
          <w:szCs w:val="28"/>
        </w:rPr>
        <w:t>4</w:t>
      </w:r>
      <w:r>
        <w:rPr>
          <w:rFonts w:hint="eastAsia"/>
          <w:szCs w:val="28"/>
        </w:rPr>
        <w:t>家单位共同编写了团体标准《区块链基础技术规范》发布实施，从区块链的基础层、网络层、管理层、业务层、运维层</w:t>
      </w:r>
      <w:r>
        <w:rPr>
          <w:rFonts w:hint="eastAsia"/>
          <w:szCs w:val="28"/>
        </w:rPr>
        <w:t>5</w:t>
      </w:r>
      <w:r>
        <w:rPr>
          <w:rFonts w:hint="eastAsia"/>
          <w:szCs w:val="28"/>
        </w:rPr>
        <w:t>个方面提出了区块链基础技术应用要求规范，明确了区块链基础技术的总体要求和各层面要求，这也是本次地方标准申请的前期研究基础。</w:t>
      </w:r>
    </w:p>
    <w:p w:rsidR="00155EA0" w:rsidRDefault="009549C5">
      <w:pPr>
        <w:spacing w:line="560" w:lineRule="exact"/>
        <w:ind w:firstLine="560"/>
        <w:jc w:val="left"/>
        <w:rPr>
          <w:szCs w:val="28"/>
        </w:rPr>
      </w:pPr>
      <w:r>
        <w:rPr>
          <w:rFonts w:hint="eastAsia"/>
          <w:szCs w:val="28"/>
        </w:rPr>
        <w:t>2</w:t>
      </w:r>
      <w:r>
        <w:rPr>
          <w:szCs w:val="28"/>
        </w:rPr>
        <w:t>020</w:t>
      </w:r>
      <w:r>
        <w:rPr>
          <w:rFonts w:hint="eastAsia"/>
          <w:szCs w:val="28"/>
        </w:rPr>
        <w:t>年</w:t>
      </w:r>
      <w:r>
        <w:rPr>
          <w:rFonts w:hint="eastAsia"/>
          <w:szCs w:val="28"/>
        </w:rPr>
        <w:t>1</w:t>
      </w:r>
      <w:r>
        <w:rPr>
          <w:szCs w:val="28"/>
        </w:rPr>
        <w:t>1</w:t>
      </w:r>
      <w:r>
        <w:rPr>
          <w:rFonts w:hint="eastAsia"/>
          <w:szCs w:val="28"/>
        </w:rPr>
        <w:t>月，数研院申报的国家市场监督管理总局举办的“企业标准领跑者”《金融区块链</w:t>
      </w:r>
      <w:r>
        <w:rPr>
          <w:szCs w:val="28"/>
        </w:rPr>
        <w:t>平台</w:t>
      </w:r>
      <w:r>
        <w:rPr>
          <w:rFonts w:hint="eastAsia"/>
          <w:szCs w:val="28"/>
        </w:rPr>
        <w:t>参考规范》已进入证标委的入围评估阶段。</w:t>
      </w:r>
    </w:p>
    <w:p w:rsidR="00155EA0" w:rsidRDefault="009549C5">
      <w:pPr>
        <w:spacing w:line="560" w:lineRule="exact"/>
        <w:ind w:firstLine="560"/>
        <w:jc w:val="left"/>
        <w:rPr>
          <w:szCs w:val="28"/>
        </w:rPr>
      </w:pPr>
      <w:r>
        <w:rPr>
          <w:rFonts w:hint="eastAsia"/>
          <w:szCs w:val="28"/>
        </w:rPr>
        <w:t>2</w:t>
      </w:r>
      <w:r>
        <w:rPr>
          <w:szCs w:val="28"/>
        </w:rPr>
        <w:t>019</w:t>
      </w:r>
      <w:r>
        <w:rPr>
          <w:rFonts w:hint="eastAsia"/>
          <w:szCs w:val="28"/>
        </w:rPr>
        <w:t>年，主申报单位系统性深度参与证监会区域性股权市场区块链试点的方案设计与建设工作并在</w:t>
      </w:r>
      <w:r>
        <w:rPr>
          <w:rFonts w:hint="eastAsia"/>
          <w:szCs w:val="28"/>
        </w:rPr>
        <w:t xml:space="preserve">5 </w:t>
      </w:r>
      <w:r>
        <w:rPr>
          <w:rFonts w:hint="eastAsia"/>
          <w:szCs w:val="28"/>
        </w:rPr>
        <w:t>个试点省份中江苏率先与中央监管链联通，形成了《区域股权市场区块链</w:t>
      </w:r>
      <w:r>
        <w:rPr>
          <w:szCs w:val="28"/>
        </w:rPr>
        <w:t>平台</w:t>
      </w:r>
      <w:r>
        <w:rPr>
          <w:rFonts w:hint="eastAsia"/>
          <w:szCs w:val="28"/>
        </w:rPr>
        <w:t>架构规范》《区域股权市场区块链跨链技术规范》《区域股权市场区块链跨链安全</w:t>
      </w:r>
      <w:r>
        <w:rPr>
          <w:rFonts w:hint="eastAsia"/>
          <w:szCs w:val="28"/>
        </w:rPr>
        <w:lastRenderedPageBreak/>
        <w:t>规范》《区域股权市场区块链跨链数据规范》</w:t>
      </w:r>
      <w:r>
        <w:rPr>
          <w:rFonts w:hint="eastAsia"/>
          <w:szCs w:val="28"/>
        </w:rPr>
        <w:t>4</w:t>
      </w:r>
      <w:r>
        <w:rPr>
          <w:rFonts w:hint="eastAsia"/>
          <w:szCs w:val="28"/>
        </w:rPr>
        <w:t>项行业标准，中国证券业协会课题《区块链在区域性股权市场建设中的应用研究——以江苏为例》已结题，本地方标准的申报以该课题为扎实的基础支撑。</w:t>
      </w:r>
    </w:p>
    <w:p w:rsidR="00155EA0" w:rsidRDefault="009549C5">
      <w:pPr>
        <w:spacing w:line="560" w:lineRule="exact"/>
        <w:ind w:firstLine="560"/>
        <w:jc w:val="left"/>
        <w:rPr>
          <w:szCs w:val="28"/>
        </w:rPr>
      </w:pPr>
      <w:r>
        <w:rPr>
          <w:rFonts w:hint="eastAsia"/>
          <w:szCs w:val="28"/>
        </w:rPr>
        <w:t>2</w:t>
      </w:r>
      <w:r>
        <w:rPr>
          <w:szCs w:val="28"/>
        </w:rPr>
        <w:t>018</w:t>
      </w:r>
      <w:r>
        <w:rPr>
          <w:rFonts w:hint="eastAsia"/>
          <w:szCs w:val="28"/>
        </w:rPr>
        <w:t>年</w:t>
      </w:r>
      <w:r>
        <w:rPr>
          <w:rFonts w:hint="eastAsia"/>
          <w:szCs w:val="28"/>
        </w:rPr>
        <w:t>1</w:t>
      </w:r>
      <w:r>
        <w:rPr>
          <w:szCs w:val="28"/>
        </w:rPr>
        <w:t>2</w:t>
      </w:r>
      <w:r>
        <w:rPr>
          <w:rFonts w:hint="eastAsia"/>
          <w:szCs w:val="28"/>
        </w:rPr>
        <w:t>月底，数研院搭建了国内首个开放性自主可控的数字金融</w:t>
      </w:r>
      <w:r>
        <w:rPr>
          <w:szCs w:val="28"/>
        </w:rPr>
        <w:t>平台</w:t>
      </w:r>
      <w:r>
        <w:rPr>
          <w:rFonts w:hint="eastAsia"/>
          <w:szCs w:val="28"/>
        </w:rPr>
        <w:t>，以创新、合规和落地为总体原则，以技术开发、场景应用、产业生态为主攻方向，聚集了</w:t>
      </w:r>
      <w:r>
        <w:rPr>
          <w:rFonts w:hint="eastAsia"/>
          <w:szCs w:val="28"/>
        </w:rPr>
        <w:t>4</w:t>
      </w:r>
      <w:r>
        <w:rPr>
          <w:rFonts w:hint="eastAsia"/>
          <w:szCs w:val="28"/>
        </w:rPr>
        <w:t>批</w:t>
      </w:r>
      <w:r>
        <w:rPr>
          <w:rFonts w:hint="eastAsia"/>
          <w:szCs w:val="28"/>
        </w:rPr>
        <w:t>5</w:t>
      </w:r>
      <w:r>
        <w:rPr>
          <w:szCs w:val="28"/>
        </w:rPr>
        <w:t>6</w:t>
      </w:r>
      <w:r>
        <w:rPr>
          <w:rFonts w:hint="eastAsia"/>
          <w:szCs w:val="28"/>
        </w:rPr>
        <w:t>家江苏银行、阿里云、武汉大学在内的坚实的示范项目（企业），打造数字金融</w:t>
      </w:r>
      <w:r>
        <w:rPr>
          <w:szCs w:val="28"/>
        </w:rPr>
        <w:t>平台</w:t>
      </w:r>
      <w:r>
        <w:rPr>
          <w:rFonts w:hint="eastAsia"/>
          <w:szCs w:val="28"/>
        </w:rPr>
        <w:t>的新模式。</w:t>
      </w:r>
    </w:p>
    <w:bookmarkEnd w:id="22"/>
    <w:p w:rsidR="00155EA0" w:rsidRDefault="009549C5">
      <w:pPr>
        <w:spacing w:line="560" w:lineRule="exact"/>
        <w:ind w:firstLine="562"/>
        <w:jc w:val="left"/>
        <w:outlineLvl w:val="2"/>
        <w:rPr>
          <w:b/>
          <w:szCs w:val="28"/>
        </w:rPr>
      </w:pPr>
      <w:r>
        <w:rPr>
          <w:b/>
          <w:szCs w:val="28"/>
        </w:rPr>
        <w:t>2.2.3</w:t>
      </w:r>
      <w:r>
        <w:rPr>
          <w:rFonts w:hint="eastAsia"/>
          <w:b/>
          <w:szCs w:val="28"/>
        </w:rPr>
        <w:t>标准的可操作性</w:t>
      </w:r>
    </w:p>
    <w:p w:rsidR="00155EA0" w:rsidRDefault="009549C5">
      <w:pPr>
        <w:spacing w:line="560" w:lineRule="exact"/>
        <w:ind w:firstLine="560"/>
        <w:jc w:val="left"/>
        <w:rPr>
          <w:szCs w:val="28"/>
        </w:rPr>
      </w:pPr>
      <w:r>
        <w:rPr>
          <w:rFonts w:ascii="宋体" w:hAnsi="宋体" w:hint="eastAsia"/>
          <w:szCs w:val="28"/>
        </w:rPr>
        <w:t>①</w:t>
      </w:r>
      <w:r>
        <w:rPr>
          <w:rFonts w:hint="eastAsia"/>
          <w:szCs w:val="28"/>
        </w:rPr>
        <w:t>标准具有技术先进性。标准参考了国际标准组织</w:t>
      </w:r>
      <w:r>
        <w:rPr>
          <w:rFonts w:hint="eastAsia"/>
          <w:szCs w:val="28"/>
        </w:rPr>
        <w:t>W3C</w:t>
      </w:r>
      <w:r>
        <w:rPr>
          <w:rFonts w:hint="eastAsia"/>
          <w:szCs w:val="28"/>
        </w:rPr>
        <w:t>、</w:t>
      </w:r>
      <w:r>
        <w:rPr>
          <w:rFonts w:hint="eastAsia"/>
          <w:szCs w:val="28"/>
        </w:rPr>
        <w:t>I</w:t>
      </w:r>
      <w:r>
        <w:rPr>
          <w:szCs w:val="28"/>
        </w:rPr>
        <w:t>EEE</w:t>
      </w:r>
      <w:r>
        <w:rPr>
          <w:rFonts w:hint="eastAsia"/>
          <w:szCs w:val="28"/>
        </w:rPr>
        <w:t>的标准规范和各项国家标准，并联合国内各项区块链顶尖企业的技术与业务专家开展相关研究，从国际视野出发，由立足江苏</w:t>
      </w:r>
      <w:r w:rsidR="0052241F">
        <w:rPr>
          <w:rFonts w:hint="eastAsia"/>
          <w:szCs w:val="28"/>
        </w:rPr>
        <w:t>各行业</w:t>
      </w:r>
      <w:r>
        <w:rPr>
          <w:rFonts w:hint="eastAsia"/>
          <w:szCs w:val="28"/>
        </w:rPr>
        <w:t>的发展情况，业务和技术的结合处于前沿水平。</w:t>
      </w:r>
    </w:p>
    <w:p w:rsidR="00155EA0" w:rsidRDefault="009549C5">
      <w:pPr>
        <w:spacing w:line="560" w:lineRule="exact"/>
        <w:ind w:firstLine="560"/>
        <w:jc w:val="left"/>
        <w:rPr>
          <w:szCs w:val="28"/>
        </w:rPr>
      </w:pPr>
      <w:r>
        <w:rPr>
          <w:rFonts w:ascii="宋体" w:hAnsi="宋体" w:hint="eastAsia"/>
          <w:szCs w:val="28"/>
        </w:rPr>
        <w:t>②</w:t>
      </w:r>
      <w:r>
        <w:rPr>
          <w:rFonts w:hint="eastAsia"/>
          <w:szCs w:val="28"/>
        </w:rPr>
        <w:t>标准关注行业适用性。</w:t>
      </w:r>
      <w:r w:rsidR="0052241F">
        <w:rPr>
          <w:rFonts w:hint="eastAsia"/>
          <w:szCs w:val="28"/>
        </w:rPr>
        <w:t>区块链在各</w:t>
      </w:r>
      <w:r>
        <w:rPr>
          <w:rFonts w:hint="eastAsia"/>
          <w:szCs w:val="28"/>
        </w:rPr>
        <w:t>行业应用场景中，有强监管、严合规、高安全的行业特殊要求，由于</w:t>
      </w:r>
      <w:r w:rsidR="0052241F">
        <w:rPr>
          <w:rFonts w:hint="eastAsia"/>
          <w:szCs w:val="28"/>
        </w:rPr>
        <w:t>各</w:t>
      </w:r>
      <w:r>
        <w:rPr>
          <w:rFonts w:hint="eastAsia"/>
          <w:szCs w:val="28"/>
        </w:rPr>
        <w:t>行业各机构发展区块链技术的进程、深度、路线等千差万别，区块链</w:t>
      </w:r>
      <w:r>
        <w:rPr>
          <w:szCs w:val="28"/>
        </w:rPr>
        <w:t>平台</w:t>
      </w:r>
      <w:r>
        <w:rPr>
          <w:rFonts w:hint="eastAsia"/>
          <w:szCs w:val="28"/>
        </w:rPr>
        <w:t>技术规范的标准化关注</w:t>
      </w:r>
      <w:r w:rsidR="0052241F">
        <w:rPr>
          <w:rFonts w:hint="eastAsia"/>
          <w:szCs w:val="28"/>
        </w:rPr>
        <w:t>各</w:t>
      </w:r>
      <w:r>
        <w:rPr>
          <w:rFonts w:hint="eastAsia"/>
          <w:szCs w:val="28"/>
        </w:rPr>
        <w:t>行业特点，有利于统一认识，规范和指导各机构对区块链技术的应用，前期研究中已充分加入金融机构</w:t>
      </w:r>
      <w:r w:rsidR="0052241F">
        <w:rPr>
          <w:rFonts w:hint="eastAsia"/>
          <w:szCs w:val="28"/>
        </w:rPr>
        <w:t>、</w:t>
      </w:r>
      <w:r>
        <w:rPr>
          <w:rFonts w:hint="eastAsia"/>
          <w:szCs w:val="28"/>
        </w:rPr>
        <w:t>科技企业</w:t>
      </w:r>
      <w:r w:rsidR="0052241F">
        <w:rPr>
          <w:rFonts w:hint="eastAsia"/>
          <w:szCs w:val="28"/>
        </w:rPr>
        <w:t>及其他机构</w:t>
      </w:r>
      <w:r>
        <w:rPr>
          <w:rFonts w:hint="eastAsia"/>
          <w:szCs w:val="28"/>
        </w:rPr>
        <w:t>的共同研讨来保障技术在当前行业的适用性。</w:t>
      </w:r>
    </w:p>
    <w:p w:rsidR="00155EA0" w:rsidRDefault="009549C5">
      <w:pPr>
        <w:spacing w:line="560" w:lineRule="exact"/>
        <w:ind w:firstLine="560"/>
        <w:jc w:val="left"/>
        <w:rPr>
          <w:szCs w:val="28"/>
        </w:rPr>
      </w:pPr>
      <w:r>
        <w:rPr>
          <w:rFonts w:ascii="宋体" w:hAnsi="宋体" w:hint="eastAsia"/>
          <w:szCs w:val="28"/>
        </w:rPr>
        <w:t>③标准简洁并量化具体功能及性能要求。从底层功能架构的设置（基础层、接入层、核心层、用户层）、基本功能的设立、性能、安全方面都作出了明确且量化的规范，用词准确可操作性。</w:t>
      </w:r>
    </w:p>
    <w:p w:rsidR="00155EA0" w:rsidRDefault="009549C5">
      <w:pPr>
        <w:spacing w:line="560" w:lineRule="exact"/>
        <w:ind w:firstLine="562"/>
        <w:jc w:val="left"/>
        <w:outlineLvl w:val="2"/>
        <w:rPr>
          <w:b/>
          <w:szCs w:val="28"/>
        </w:rPr>
      </w:pPr>
      <w:r>
        <w:rPr>
          <w:b/>
          <w:szCs w:val="28"/>
        </w:rPr>
        <w:t>2.2.4</w:t>
      </w:r>
      <w:r>
        <w:rPr>
          <w:rFonts w:hint="eastAsia"/>
          <w:b/>
          <w:szCs w:val="28"/>
        </w:rPr>
        <w:t>标准的经济合理性</w:t>
      </w:r>
    </w:p>
    <w:p w:rsidR="00155EA0" w:rsidRDefault="009549C5">
      <w:pPr>
        <w:spacing w:line="560" w:lineRule="exact"/>
        <w:ind w:firstLine="560"/>
        <w:jc w:val="left"/>
        <w:rPr>
          <w:szCs w:val="28"/>
        </w:rPr>
      </w:pPr>
      <w:r>
        <w:rPr>
          <w:rFonts w:hint="eastAsia"/>
          <w:szCs w:val="28"/>
        </w:rPr>
        <w:lastRenderedPageBreak/>
        <w:t>该标准既不是“闭门造车”，也不是“无中生有”，是立足国际国内研究基础上开展并与江苏</w:t>
      </w:r>
      <w:r w:rsidR="0052241F">
        <w:rPr>
          <w:rFonts w:hint="eastAsia"/>
          <w:szCs w:val="28"/>
        </w:rPr>
        <w:t>各</w:t>
      </w:r>
      <w:r>
        <w:rPr>
          <w:rFonts w:hint="eastAsia"/>
          <w:szCs w:val="28"/>
        </w:rPr>
        <w:t>行业要素及需求相结合，充分考虑国家层面的重大方向、基本原则。在标准的研究工作中，充分发挥了自律机制在标准化建设中的作用，依托市场力量，调动了各方资源，从实际业务与技术的结合中研究产出，从团体标准中转化而来。在标准的推广工作中，基于广泛的前期研究和合力的后期推广，有利于标准在实际业务开展中产出效益。</w:t>
      </w:r>
    </w:p>
    <w:p w:rsidR="00155EA0" w:rsidRDefault="00155EA0">
      <w:pPr>
        <w:ind w:firstLine="560"/>
        <w:rPr>
          <w:rFonts w:ascii="宋体" w:hAnsi="宋体"/>
        </w:rPr>
      </w:pPr>
    </w:p>
    <w:p w:rsidR="00155EA0" w:rsidRDefault="009549C5">
      <w:pPr>
        <w:pStyle w:val="1"/>
        <w:rPr>
          <w:rFonts w:ascii="宋体" w:hAnsi="宋体"/>
        </w:rPr>
      </w:pPr>
      <w:bookmarkStart w:id="23" w:name="_Toc13902"/>
      <w:bookmarkStart w:id="24" w:name="_Toc145343484"/>
      <w:r>
        <w:rPr>
          <w:rFonts w:ascii="宋体" w:hAnsi="宋体" w:hint="eastAsia"/>
        </w:rPr>
        <w:lastRenderedPageBreak/>
        <w:t>3.</w:t>
      </w:r>
      <w:r>
        <w:rPr>
          <w:rFonts w:ascii="宋体" w:hAnsi="宋体"/>
        </w:rPr>
        <w:t>国内外研究情况</w:t>
      </w:r>
      <w:bookmarkEnd w:id="23"/>
      <w:bookmarkEnd w:id="24"/>
    </w:p>
    <w:p w:rsidR="00155EA0" w:rsidRDefault="009549C5">
      <w:pPr>
        <w:spacing w:line="560" w:lineRule="exact"/>
        <w:ind w:firstLine="562"/>
        <w:jc w:val="left"/>
        <w:outlineLvl w:val="1"/>
        <w:rPr>
          <w:b/>
          <w:bCs/>
          <w:szCs w:val="28"/>
        </w:rPr>
      </w:pPr>
      <w:bookmarkStart w:id="25" w:name="_Hlk153465082"/>
      <w:bookmarkStart w:id="26" w:name="_Toc5448"/>
      <w:bookmarkStart w:id="27" w:name="_Toc97303433"/>
      <w:bookmarkStart w:id="28" w:name="_Toc145343485"/>
      <w:bookmarkStart w:id="29" w:name="_Toc42008352"/>
      <w:r>
        <w:rPr>
          <w:b/>
          <w:bCs/>
          <w:szCs w:val="28"/>
        </w:rPr>
        <w:t>3.</w:t>
      </w:r>
      <w:r>
        <w:rPr>
          <w:rFonts w:hint="eastAsia"/>
          <w:b/>
          <w:bCs/>
          <w:szCs w:val="28"/>
        </w:rPr>
        <w:t>1</w:t>
      </w:r>
      <w:r>
        <w:rPr>
          <w:rFonts w:hint="eastAsia"/>
          <w:b/>
          <w:bCs/>
          <w:szCs w:val="28"/>
        </w:rPr>
        <w:t>国外区块链技术标准状况</w:t>
      </w:r>
    </w:p>
    <w:p w:rsidR="00155EA0" w:rsidRDefault="009549C5">
      <w:pPr>
        <w:spacing w:line="560" w:lineRule="exact"/>
        <w:ind w:firstLine="560"/>
        <w:jc w:val="left"/>
        <w:rPr>
          <w:szCs w:val="28"/>
        </w:rPr>
      </w:pPr>
      <w:r>
        <w:rPr>
          <w:rFonts w:hint="eastAsia"/>
          <w:szCs w:val="28"/>
        </w:rPr>
        <w:t>国际标准方面，国际电信联盟</w:t>
      </w:r>
      <w:r>
        <w:rPr>
          <w:rFonts w:hint="eastAsia"/>
          <w:szCs w:val="28"/>
        </w:rPr>
        <w:t xml:space="preserve"> (International Telecommunication Union, ITU </w:t>
      </w:r>
      <w:r>
        <w:rPr>
          <w:rFonts w:hint="eastAsia"/>
          <w:szCs w:val="28"/>
        </w:rPr>
        <w:t>）、国际标准化组织（</w:t>
      </w:r>
      <w:r>
        <w:rPr>
          <w:rFonts w:hint="eastAsia"/>
          <w:szCs w:val="28"/>
        </w:rPr>
        <w:t>International Organization for Standardization, ISO</w:t>
      </w:r>
      <w:r>
        <w:rPr>
          <w:rFonts w:hint="eastAsia"/>
          <w:szCs w:val="28"/>
        </w:rPr>
        <w:t>）、电气与电子工程师协会（</w:t>
      </w:r>
      <w:r>
        <w:rPr>
          <w:rFonts w:hint="eastAsia"/>
          <w:szCs w:val="28"/>
        </w:rPr>
        <w:t>Institute of Electrical and Electronics Engineers, IEEE</w:t>
      </w:r>
      <w:r>
        <w:rPr>
          <w:rFonts w:hint="eastAsia"/>
          <w:szCs w:val="28"/>
        </w:rPr>
        <w:t>）及万维网联盟（</w:t>
      </w:r>
      <w:r>
        <w:rPr>
          <w:rFonts w:hint="eastAsia"/>
          <w:szCs w:val="28"/>
        </w:rPr>
        <w:t>World Wide Web Consortium</w:t>
      </w:r>
      <w:r>
        <w:rPr>
          <w:rFonts w:hint="eastAsia"/>
          <w:szCs w:val="28"/>
        </w:rPr>
        <w:t>）具有全球影响力的机构均成立了区块链标准工作组或委员会，致力于推动区块链国际标准的制定。其中南京数字金融产业研究院落地全球唯一金融科技代表处并成立数字资产标准社区组及产品追溯与区块链标准社区组。</w:t>
      </w:r>
    </w:p>
    <w:p w:rsidR="00155EA0" w:rsidRDefault="009549C5">
      <w:pPr>
        <w:spacing w:line="560" w:lineRule="exact"/>
        <w:ind w:firstLine="560"/>
        <w:jc w:val="left"/>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ITU-T</w:t>
      </w:r>
      <w:r>
        <w:rPr>
          <w:rFonts w:hint="eastAsia"/>
          <w:szCs w:val="28"/>
        </w:rPr>
        <w:t>（电信标准化部门）已发布区块链</w:t>
      </w:r>
      <w:r>
        <w:rPr>
          <w:rFonts w:hint="eastAsia"/>
          <w:szCs w:val="28"/>
        </w:rPr>
        <w:t>/</w:t>
      </w:r>
      <w:r>
        <w:rPr>
          <w:rFonts w:hint="eastAsia"/>
          <w:szCs w:val="28"/>
        </w:rPr>
        <w:t>分布式账本技术相关标准</w:t>
      </w:r>
      <w:r>
        <w:rPr>
          <w:rFonts w:hint="eastAsia"/>
          <w:szCs w:val="28"/>
        </w:rPr>
        <w:t>14</w:t>
      </w:r>
      <w:r>
        <w:rPr>
          <w:rFonts w:hint="eastAsia"/>
          <w:szCs w:val="28"/>
        </w:rPr>
        <w:t>项，其中</w:t>
      </w:r>
      <w:r>
        <w:rPr>
          <w:rFonts w:hint="eastAsia"/>
          <w:szCs w:val="28"/>
        </w:rPr>
        <w:t>2</w:t>
      </w:r>
      <w:r>
        <w:rPr>
          <w:rFonts w:hint="eastAsia"/>
          <w:szCs w:val="28"/>
        </w:rPr>
        <w:t>项在</w:t>
      </w:r>
      <w:r>
        <w:rPr>
          <w:rFonts w:hint="eastAsia"/>
          <w:szCs w:val="28"/>
        </w:rPr>
        <w:t>2019</w:t>
      </w:r>
      <w:r>
        <w:rPr>
          <w:rFonts w:hint="eastAsia"/>
          <w:szCs w:val="28"/>
        </w:rPr>
        <w:t>年年底批准，全部</w:t>
      </w:r>
      <w:r>
        <w:rPr>
          <w:rFonts w:hint="eastAsia"/>
          <w:szCs w:val="28"/>
        </w:rPr>
        <w:t>14</w:t>
      </w:r>
      <w:r>
        <w:rPr>
          <w:rFonts w:hint="eastAsia"/>
          <w:szCs w:val="28"/>
        </w:rPr>
        <w:t>项均在</w:t>
      </w:r>
      <w:r>
        <w:rPr>
          <w:rFonts w:hint="eastAsia"/>
          <w:szCs w:val="28"/>
        </w:rPr>
        <w:t>2020</w:t>
      </w:r>
      <w:r>
        <w:rPr>
          <w:rFonts w:hint="eastAsia"/>
          <w:szCs w:val="28"/>
        </w:rPr>
        <w:t>年发布。在已经发布的标准中，</w:t>
      </w:r>
      <w:r>
        <w:rPr>
          <w:rFonts w:hint="eastAsia"/>
          <w:szCs w:val="28"/>
        </w:rPr>
        <w:t>4</w:t>
      </w:r>
      <w:r>
        <w:rPr>
          <w:rFonts w:hint="eastAsia"/>
          <w:szCs w:val="28"/>
        </w:rPr>
        <w:t>项与安全相关，</w:t>
      </w:r>
      <w:r>
        <w:rPr>
          <w:rFonts w:hint="eastAsia"/>
          <w:szCs w:val="28"/>
        </w:rPr>
        <w:t>3</w:t>
      </w:r>
      <w:r>
        <w:rPr>
          <w:rFonts w:hint="eastAsia"/>
          <w:szCs w:val="28"/>
        </w:rPr>
        <w:t>项与数据管理相关，</w:t>
      </w:r>
      <w:r>
        <w:rPr>
          <w:rFonts w:hint="eastAsia"/>
          <w:szCs w:val="28"/>
        </w:rPr>
        <w:t>3</w:t>
      </w:r>
      <w:r>
        <w:rPr>
          <w:rFonts w:hint="eastAsia"/>
          <w:szCs w:val="28"/>
        </w:rPr>
        <w:t>项与物联网相关，由此可见</w:t>
      </w:r>
      <w:r>
        <w:rPr>
          <w:rFonts w:hint="eastAsia"/>
          <w:szCs w:val="28"/>
        </w:rPr>
        <w:t>ITU</w:t>
      </w:r>
      <w:r>
        <w:rPr>
          <w:rFonts w:hint="eastAsia"/>
          <w:szCs w:val="28"/>
        </w:rPr>
        <w:t>对于安全问题和物联网、数据问题的重视。</w:t>
      </w:r>
    </w:p>
    <w:p w:rsidR="00155EA0" w:rsidRDefault="009549C5">
      <w:pPr>
        <w:spacing w:line="560" w:lineRule="exact"/>
        <w:ind w:firstLine="560"/>
        <w:jc w:val="left"/>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ISO/TC 307</w:t>
      </w:r>
      <w:r>
        <w:rPr>
          <w:rFonts w:hint="eastAsia"/>
          <w:szCs w:val="28"/>
        </w:rPr>
        <w:t>（区块链和分布式记账技术技术委员会）共设立</w:t>
      </w:r>
      <w:r>
        <w:rPr>
          <w:rFonts w:hint="eastAsia"/>
          <w:szCs w:val="28"/>
        </w:rPr>
        <w:t>12</w:t>
      </w:r>
      <w:r>
        <w:rPr>
          <w:rFonts w:hint="eastAsia"/>
          <w:szCs w:val="28"/>
        </w:rPr>
        <w:t>个工作小组，分别负责区块链技术、互操作性、安全等细分领域的具体标准审核，秘书处设在澳大利亚，在世界范围内有</w:t>
      </w:r>
      <w:r>
        <w:rPr>
          <w:rFonts w:hint="eastAsia"/>
          <w:szCs w:val="28"/>
        </w:rPr>
        <w:t>46</w:t>
      </w:r>
      <w:r>
        <w:rPr>
          <w:rFonts w:hint="eastAsia"/>
          <w:szCs w:val="28"/>
        </w:rPr>
        <w:t>个参与成员（</w:t>
      </w:r>
      <w:r>
        <w:rPr>
          <w:rFonts w:hint="eastAsia"/>
          <w:szCs w:val="28"/>
        </w:rPr>
        <w:t>PARTICIPATING MEMBERS</w:t>
      </w:r>
      <w:r>
        <w:rPr>
          <w:rFonts w:hint="eastAsia"/>
          <w:szCs w:val="28"/>
        </w:rPr>
        <w:t>）和</w:t>
      </w:r>
      <w:r>
        <w:rPr>
          <w:rFonts w:hint="eastAsia"/>
          <w:szCs w:val="28"/>
        </w:rPr>
        <w:t>13</w:t>
      </w:r>
      <w:r>
        <w:rPr>
          <w:rFonts w:hint="eastAsia"/>
          <w:szCs w:val="28"/>
        </w:rPr>
        <w:t>个观察成员（</w:t>
      </w:r>
      <w:r>
        <w:rPr>
          <w:rFonts w:hint="eastAsia"/>
          <w:szCs w:val="28"/>
        </w:rPr>
        <w:t>OBSERVING MEMBERS</w:t>
      </w:r>
      <w:r>
        <w:rPr>
          <w:rFonts w:hint="eastAsia"/>
          <w:szCs w:val="28"/>
        </w:rPr>
        <w:t>）。截至</w:t>
      </w:r>
      <w:r>
        <w:rPr>
          <w:rFonts w:hint="eastAsia"/>
          <w:szCs w:val="28"/>
        </w:rPr>
        <w:t>2020</w:t>
      </w:r>
      <w:r>
        <w:rPr>
          <w:rFonts w:hint="eastAsia"/>
          <w:szCs w:val="28"/>
        </w:rPr>
        <w:t>年</w:t>
      </w:r>
      <w:r>
        <w:rPr>
          <w:rFonts w:hint="eastAsia"/>
          <w:szCs w:val="28"/>
        </w:rPr>
        <w:t>12</w:t>
      </w:r>
      <w:r>
        <w:rPr>
          <w:rFonts w:hint="eastAsia"/>
          <w:szCs w:val="28"/>
        </w:rPr>
        <w:t>月，</w:t>
      </w:r>
      <w:r>
        <w:rPr>
          <w:rFonts w:hint="eastAsia"/>
          <w:szCs w:val="28"/>
        </w:rPr>
        <w:t>ISO/TC</w:t>
      </w:r>
      <w:r>
        <w:rPr>
          <w:rFonts w:hint="eastAsia"/>
          <w:szCs w:val="28"/>
        </w:rPr>
        <w:t>已经发布区块链相关国际标准</w:t>
      </w:r>
      <w:r>
        <w:rPr>
          <w:rFonts w:hint="eastAsia"/>
          <w:szCs w:val="28"/>
        </w:rPr>
        <w:t>4</w:t>
      </w:r>
      <w:r>
        <w:rPr>
          <w:rFonts w:hint="eastAsia"/>
          <w:szCs w:val="28"/>
        </w:rPr>
        <w:t>项，撤销</w:t>
      </w:r>
      <w:r>
        <w:rPr>
          <w:rFonts w:hint="eastAsia"/>
          <w:szCs w:val="28"/>
        </w:rPr>
        <w:t>1</w:t>
      </w:r>
      <w:r>
        <w:rPr>
          <w:rFonts w:hint="eastAsia"/>
          <w:szCs w:val="28"/>
        </w:rPr>
        <w:t>项，另有</w:t>
      </w:r>
      <w:r>
        <w:rPr>
          <w:rFonts w:hint="eastAsia"/>
          <w:szCs w:val="28"/>
        </w:rPr>
        <w:t>11</w:t>
      </w:r>
      <w:r>
        <w:rPr>
          <w:rFonts w:hint="eastAsia"/>
          <w:szCs w:val="28"/>
        </w:rPr>
        <w:t>项正在制定中，已发布的标准包括了区块链术语概念、系统概述、隐私保护和人员管理，构建了国际区块链领域的共识基石，正在制定中的标准将对区块链的参考架构、分类、案例等方面给出规范，打</w:t>
      </w:r>
      <w:r>
        <w:rPr>
          <w:rFonts w:hint="eastAsia"/>
          <w:szCs w:val="28"/>
        </w:rPr>
        <w:lastRenderedPageBreak/>
        <w:t>造更好的国际区块链合作基础。</w:t>
      </w:r>
    </w:p>
    <w:p w:rsidR="00155EA0" w:rsidRDefault="009549C5">
      <w:pPr>
        <w:spacing w:line="560" w:lineRule="exact"/>
        <w:ind w:firstLine="560"/>
        <w:jc w:val="left"/>
        <w:rPr>
          <w:szCs w:val="28"/>
        </w:rPr>
      </w:pPr>
      <w:r>
        <w:rPr>
          <w:rFonts w:hint="eastAsia"/>
          <w:szCs w:val="28"/>
        </w:rPr>
        <w:t>2020</w:t>
      </w:r>
      <w:r>
        <w:rPr>
          <w:rFonts w:hint="eastAsia"/>
          <w:szCs w:val="28"/>
        </w:rPr>
        <w:t>年</w:t>
      </w:r>
      <w:r>
        <w:rPr>
          <w:rFonts w:hint="eastAsia"/>
          <w:szCs w:val="28"/>
        </w:rPr>
        <w:t>3</w:t>
      </w:r>
      <w:r>
        <w:rPr>
          <w:rFonts w:hint="eastAsia"/>
          <w:szCs w:val="28"/>
        </w:rPr>
        <w:t>月，第一项</w:t>
      </w:r>
      <w:r>
        <w:rPr>
          <w:rFonts w:hint="eastAsia"/>
          <w:szCs w:val="28"/>
        </w:rPr>
        <w:t>IEEE</w:t>
      </w:r>
      <w:r>
        <w:rPr>
          <w:rFonts w:hint="eastAsia"/>
          <w:szCs w:val="28"/>
        </w:rPr>
        <w:t>（电气与电子工程师协会）区块链标准“</w:t>
      </w:r>
      <w:r>
        <w:rPr>
          <w:rFonts w:hint="eastAsia"/>
          <w:szCs w:val="28"/>
        </w:rPr>
        <w:t>IEEE Standard for Data Format for Blockchain Systems</w:t>
      </w:r>
      <w:r>
        <w:rPr>
          <w:rFonts w:hint="eastAsia"/>
          <w:szCs w:val="28"/>
        </w:rPr>
        <w:t>”成功通过委员会批准，明确了区块链系统的数据格式要求，在数据结构、数据类型等方面给出规范。截至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IEEE</w:t>
      </w:r>
      <w:r>
        <w:rPr>
          <w:rFonts w:hint="eastAsia"/>
          <w:szCs w:val="28"/>
        </w:rPr>
        <w:t>已发布区块链相关标准</w:t>
      </w:r>
      <w:r>
        <w:rPr>
          <w:rFonts w:hint="eastAsia"/>
          <w:szCs w:val="28"/>
        </w:rPr>
        <w:t>5</w:t>
      </w:r>
      <w:r>
        <w:rPr>
          <w:rFonts w:hint="eastAsia"/>
          <w:szCs w:val="28"/>
        </w:rPr>
        <w:t>项，其中</w:t>
      </w:r>
      <w:r>
        <w:rPr>
          <w:rFonts w:hint="eastAsia"/>
          <w:szCs w:val="28"/>
        </w:rPr>
        <w:t>3</w:t>
      </w:r>
      <w:r>
        <w:rPr>
          <w:rFonts w:hint="eastAsia"/>
          <w:szCs w:val="28"/>
        </w:rPr>
        <w:t>项与加密货币相关，另有</w:t>
      </w:r>
      <w:r>
        <w:rPr>
          <w:rFonts w:hint="eastAsia"/>
          <w:szCs w:val="28"/>
        </w:rPr>
        <w:t>1</w:t>
      </w:r>
      <w:r>
        <w:rPr>
          <w:rFonts w:hint="eastAsia"/>
          <w:szCs w:val="28"/>
        </w:rPr>
        <w:t>项数据格式标准和</w:t>
      </w:r>
      <w:r>
        <w:rPr>
          <w:rFonts w:hint="eastAsia"/>
          <w:szCs w:val="28"/>
        </w:rPr>
        <w:t>1</w:t>
      </w:r>
      <w:r>
        <w:rPr>
          <w:rFonts w:hint="eastAsia"/>
          <w:szCs w:val="28"/>
        </w:rPr>
        <w:t>项数据管理标准。</w:t>
      </w:r>
    </w:p>
    <w:p w:rsidR="00155EA0" w:rsidRDefault="009549C5">
      <w:pPr>
        <w:spacing w:line="560" w:lineRule="exact"/>
        <w:ind w:firstLine="562"/>
        <w:jc w:val="left"/>
        <w:outlineLvl w:val="1"/>
        <w:rPr>
          <w:b/>
          <w:bCs/>
          <w:szCs w:val="28"/>
        </w:rPr>
      </w:pPr>
      <w:bookmarkStart w:id="30" w:name="_Hlk153465119"/>
      <w:bookmarkEnd w:id="25"/>
      <w:r>
        <w:rPr>
          <w:b/>
          <w:bCs/>
          <w:szCs w:val="28"/>
        </w:rPr>
        <w:t>3.</w:t>
      </w:r>
      <w:r>
        <w:rPr>
          <w:rFonts w:hint="eastAsia"/>
          <w:b/>
          <w:bCs/>
          <w:szCs w:val="28"/>
        </w:rPr>
        <w:t>2</w:t>
      </w:r>
      <w:r>
        <w:rPr>
          <w:rFonts w:hint="eastAsia"/>
          <w:b/>
          <w:bCs/>
          <w:szCs w:val="28"/>
        </w:rPr>
        <w:t>国内区块链技术标准状况</w:t>
      </w:r>
    </w:p>
    <w:p w:rsidR="00155EA0" w:rsidRDefault="009549C5">
      <w:pPr>
        <w:spacing w:line="560" w:lineRule="exact"/>
        <w:ind w:firstLine="560"/>
        <w:jc w:val="left"/>
        <w:rPr>
          <w:szCs w:val="28"/>
        </w:rPr>
      </w:pPr>
      <w:r>
        <w:rPr>
          <w:rFonts w:hint="eastAsia"/>
          <w:szCs w:val="28"/>
        </w:rPr>
        <w:t>我国也正在开展区块链标准化组织建设和研制工作。这些标准涵盖了基础标准、规范标准、交互标准、安全标准和应用标准，并取得了一定进展。</w:t>
      </w:r>
    </w:p>
    <w:p w:rsidR="00155EA0" w:rsidRDefault="009549C5">
      <w:pPr>
        <w:spacing w:line="560" w:lineRule="exact"/>
        <w:ind w:firstLine="560"/>
        <w:jc w:val="left"/>
        <w:rPr>
          <w:szCs w:val="28"/>
        </w:rPr>
      </w:pPr>
      <w:r>
        <w:rPr>
          <w:rFonts w:hint="eastAsia"/>
          <w:szCs w:val="28"/>
        </w:rPr>
        <w:t>自</w:t>
      </w:r>
      <w:r>
        <w:rPr>
          <w:rFonts w:hint="eastAsia"/>
          <w:szCs w:val="28"/>
        </w:rPr>
        <w:t>2016</w:t>
      </w:r>
      <w:r>
        <w:rPr>
          <w:rFonts w:hint="eastAsia"/>
          <w:szCs w:val="28"/>
        </w:rPr>
        <w:t>年，中国便已开始启动区块链</w:t>
      </w:r>
      <w:r>
        <w:rPr>
          <w:rFonts w:hint="eastAsia"/>
          <w:szCs w:val="28"/>
        </w:rPr>
        <w:t>/</w:t>
      </w:r>
      <w:r>
        <w:rPr>
          <w:rFonts w:hint="eastAsia"/>
          <w:szCs w:val="28"/>
        </w:rPr>
        <w:t>分布式账本团体标准、地方标准、行业标准的制定工作，并在</w:t>
      </w:r>
      <w:r>
        <w:rPr>
          <w:rFonts w:hint="eastAsia"/>
          <w:szCs w:val="28"/>
        </w:rPr>
        <w:t>2017</w:t>
      </w:r>
      <w:r>
        <w:rPr>
          <w:rFonts w:hint="eastAsia"/>
          <w:szCs w:val="28"/>
        </w:rPr>
        <w:t>年</w:t>
      </w:r>
      <w:r>
        <w:rPr>
          <w:rFonts w:hint="eastAsia"/>
          <w:szCs w:val="28"/>
        </w:rPr>
        <w:t>5</w:t>
      </w:r>
      <w:r>
        <w:rPr>
          <w:rFonts w:hint="eastAsia"/>
          <w:szCs w:val="28"/>
        </w:rPr>
        <w:t>月由中国电子工业标准化技术协会联合万向区块链公司、蚂蚁小微金融服务集团、深圳前海微众银行股份有限公司等发布第一份团体标准《区块链</w:t>
      </w:r>
      <w:r>
        <w:rPr>
          <w:rFonts w:hint="eastAsia"/>
          <w:szCs w:val="28"/>
        </w:rPr>
        <w:t xml:space="preserve"> </w:t>
      </w:r>
      <w:r>
        <w:rPr>
          <w:rFonts w:hint="eastAsia"/>
          <w:szCs w:val="28"/>
        </w:rPr>
        <w:t>参考架构》（</w:t>
      </w:r>
      <w:r>
        <w:rPr>
          <w:rFonts w:hint="eastAsia"/>
          <w:szCs w:val="28"/>
        </w:rPr>
        <w:t>T/CESA 6001</w:t>
      </w:r>
      <w:r>
        <w:rPr>
          <w:rFonts w:hint="eastAsia"/>
          <w:szCs w:val="28"/>
        </w:rPr>
        <w:t>—</w:t>
      </w:r>
      <w:r>
        <w:rPr>
          <w:rFonts w:hint="eastAsia"/>
          <w:szCs w:val="28"/>
        </w:rPr>
        <w:t>2016</w:t>
      </w:r>
      <w:r>
        <w:rPr>
          <w:rFonts w:hint="eastAsia"/>
          <w:szCs w:val="28"/>
        </w:rPr>
        <w:t>）。</w:t>
      </w:r>
    </w:p>
    <w:p w:rsidR="00155EA0" w:rsidRDefault="009549C5">
      <w:pPr>
        <w:spacing w:line="560" w:lineRule="exact"/>
        <w:ind w:firstLine="560"/>
        <w:jc w:val="left"/>
        <w:rPr>
          <w:szCs w:val="28"/>
        </w:rPr>
      </w:pPr>
      <w:r>
        <w:rPr>
          <w:rFonts w:hint="eastAsia"/>
          <w:szCs w:val="28"/>
        </w:rPr>
        <w:t>2017</w:t>
      </w:r>
      <w:r>
        <w:rPr>
          <w:rFonts w:hint="eastAsia"/>
          <w:szCs w:val="28"/>
        </w:rPr>
        <w:t>年</w:t>
      </w:r>
      <w:r>
        <w:rPr>
          <w:rFonts w:hint="eastAsia"/>
          <w:szCs w:val="28"/>
        </w:rPr>
        <w:t>12</w:t>
      </w:r>
      <w:r>
        <w:rPr>
          <w:rFonts w:hint="eastAsia"/>
          <w:szCs w:val="28"/>
        </w:rPr>
        <w:t>月，由中国电子技术标准化研究院牵头的首个区块链领域国家标准《信息技术区块链和分布式账本技术参考架构》（计划编号：</w:t>
      </w:r>
      <w:r>
        <w:rPr>
          <w:rFonts w:hint="eastAsia"/>
          <w:szCs w:val="28"/>
        </w:rPr>
        <w:t>20173824-T-469</w:t>
      </w:r>
      <w:r>
        <w:rPr>
          <w:rFonts w:hint="eastAsia"/>
          <w:szCs w:val="28"/>
        </w:rPr>
        <w:t>）正式立项，标志着区块链国家标准制定的开始，与国际区块链标准制定的起步基本同时。</w:t>
      </w:r>
    </w:p>
    <w:p w:rsidR="00155EA0" w:rsidRDefault="009549C5">
      <w:pPr>
        <w:spacing w:line="560" w:lineRule="exact"/>
        <w:ind w:firstLine="560"/>
        <w:jc w:val="left"/>
        <w:rPr>
          <w:szCs w:val="28"/>
        </w:rPr>
      </w:pPr>
      <w:r>
        <w:rPr>
          <w:rFonts w:hint="eastAsia"/>
          <w:szCs w:val="28"/>
        </w:rPr>
        <w:t>2020</w:t>
      </w:r>
      <w:r>
        <w:rPr>
          <w:rFonts w:hint="eastAsia"/>
          <w:szCs w:val="28"/>
        </w:rPr>
        <w:t>年有三项标准跻身国家标准立项，</w:t>
      </w:r>
      <w:r>
        <w:rPr>
          <w:rFonts w:hint="eastAsia"/>
          <w:szCs w:val="28"/>
        </w:rPr>
        <w:t>20173824-T-469</w:t>
      </w:r>
      <w:r>
        <w:rPr>
          <w:rFonts w:hint="eastAsia"/>
          <w:szCs w:val="28"/>
        </w:rPr>
        <w:t>区块链和分布式记账技术参考架构；</w:t>
      </w:r>
      <w:r>
        <w:rPr>
          <w:rFonts w:hint="eastAsia"/>
          <w:szCs w:val="28"/>
        </w:rPr>
        <w:t>20201615-T-469</w:t>
      </w:r>
      <w:r>
        <w:rPr>
          <w:rFonts w:hint="eastAsia"/>
          <w:szCs w:val="28"/>
        </w:rPr>
        <w:t>区块链和分布式记账技术智能合约实施规范；</w:t>
      </w:r>
      <w:r>
        <w:rPr>
          <w:rFonts w:hint="eastAsia"/>
          <w:szCs w:val="28"/>
        </w:rPr>
        <w:t>20201612-T-469</w:t>
      </w:r>
      <w:r>
        <w:rPr>
          <w:rFonts w:hint="eastAsia"/>
          <w:szCs w:val="28"/>
        </w:rPr>
        <w:t>区块链和分布式记账技术存证应用指南。</w:t>
      </w:r>
    </w:p>
    <w:bookmarkEnd w:id="30"/>
    <w:p w:rsidR="00155EA0" w:rsidRDefault="009549C5">
      <w:pPr>
        <w:spacing w:line="560" w:lineRule="exact"/>
        <w:ind w:firstLine="562"/>
        <w:jc w:val="left"/>
        <w:outlineLvl w:val="1"/>
        <w:rPr>
          <w:b/>
          <w:bCs/>
          <w:szCs w:val="28"/>
        </w:rPr>
      </w:pPr>
      <w:r>
        <w:rPr>
          <w:rFonts w:hint="eastAsia"/>
          <w:b/>
          <w:bCs/>
          <w:szCs w:val="28"/>
        </w:rPr>
        <w:lastRenderedPageBreak/>
        <w:t>3</w:t>
      </w:r>
      <w:r>
        <w:rPr>
          <w:b/>
          <w:bCs/>
          <w:szCs w:val="28"/>
        </w:rPr>
        <w:t>.3</w:t>
      </w:r>
      <w:r>
        <w:rPr>
          <w:rFonts w:hint="eastAsia"/>
          <w:b/>
          <w:bCs/>
          <w:szCs w:val="28"/>
        </w:rPr>
        <w:t>区块链技术标准发展趋势</w:t>
      </w:r>
    </w:p>
    <w:p w:rsidR="00155EA0" w:rsidRDefault="009549C5">
      <w:pPr>
        <w:spacing w:line="560" w:lineRule="exact"/>
        <w:ind w:firstLine="560"/>
        <w:jc w:val="left"/>
        <w:outlineLvl w:val="2"/>
        <w:rPr>
          <w:szCs w:val="28"/>
        </w:rPr>
      </w:pPr>
      <w:r>
        <w:rPr>
          <w:rFonts w:hint="eastAsia"/>
          <w:szCs w:val="28"/>
        </w:rPr>
        <w:t>3</w:t>
      </w:r>
      <w:r>
        <w:rPr>
          <w:szCs w:val="28"/>
        </w:rPr>
        <w:t>.3.1</w:t>
      </w:r>
      <w:r>
        <w:rPr>
          <w:rFonts w:hint="eastAsia"/>
          <w:szCs w:val="28"/>
        </w:rPr>
        <w:t>标准制定有序推进，区块链国标未来可期</w:t>
      </w:r>
    </w:p>
    <w:p w:rsidR="00155EA0" w:rsidRDefault="009549C5">
      <w:pPr>
        <w:spacing w:line="560" w:lineRule="exact"/>
        <w:ind w:firstLine="560"/>
        <w:jc w:val="left"/>
        <w:rPr>
          <w:szCs w:val="28"/>
        </w:rPr>
      </w:pPr>
      <w:r>
        <w:rPr>
          <w:rFonts w:hint="eastAsia"/>
          <w:szCs w:val="28"/>
        </w:rPr>
        <w:t>从整体趋势上看，我国区块链标准制定按照团体标准、省级地方标准、行业标准再到国家标准、国际标准这一自下而上的初步制定过程，又遵循从上而下的协调修改过程。目前，区块链国家标准已经提上日程、正在加紧制定，相信在未来一两年内，区块链技术体系和智能合约将拥有统一的国家规范，区块链行业能够进入有序发展期。</w:t>
      </w:r>
    </w:p>
    <w:p w:rsidR="00155EA0" w:rsidRDefault="009549C5">
      <w:pPr>
        <w:spacing w:line="560" w:lineRule="exact"/>
        <w:ind w:firstLine="560"/>
        <w:jc w:val="left"/>
        <w:outlineLvl w:val="2"/>
        <w:rPr>
          <w:szCs w:val="28"/>
        </w:rPr>
      </w:pPr>
      <w:r>
        <w:rPr>
          <w:rFonts w:hint="eastAsia"/>
          <w:szCs w:val="28"/>
        </w:rPr>
        <w:t>3</w:t>
      </w:r>
      <w:r>
        <w:rPr>
          <w:szCs w:val="28"/>
        </w:rPr>
        <w:t>.3.2</w:t>
      </w:r>
      <w:r>
        <w:rPr>
          <w:rFonts w:hint="eastAsia"/>
          <w:szCs w:val="28"/>
        </w:rPr>
        <w:t>标准体系日趋完善，覆盖产业全流程仍有距离</w:t>
      </w:r>
    </w:p>
    <w:p w:rsidR="00155EA0" w:rsidRDefault="009549C5">
      <w:pPr>
        <w:spacing w:line="560" w:lineRule="exact"/>
        <w:ind w:firstLine="560"/>
        <w:jc w:val="left"/>
        <w:rPr>
          <w:szCs w:val="28"/>
        </w:rPr>
      </w:pPr>
      <w:r>
        <w:rPr>
          <w:rFonts w:hint="eastAsia"/>
          <w:szCs w:val="28"/>
        </w:rPr>
        <w:t>从标准覆盖内容来看，我国在区块链领域的基础标准（术语、参考架构）已具有基础，而在应用、接口规范、测评等细分方向还不完善。目前，云计算、物联网领域已经分别出台</w:t>
      </w:r>
      <w:r>
        <w:rPr>
          <w:rFonts w:hint="eastAsia"/>
          <w:szCs w:val="28"/>
        </w:rPr>
        <w:t>33</w:t>
      </w:r>
      <w:r>
        <w:rPr>
          <w:rFonts w:hint="eastAsia"/>
          <w:szCs w:val="28"/>
        </w:rPr>
        <w:t>项、</w:t>
      </w:r>
      <w:r>
        <w:rPr>
          <w:rFonts w:hint="eastAsia"/>
          <w:szCs w:val="28"/>
        </w:rPr>
        <w:t>72</w:t>
      </w:r>
      <w:r>
        <w:rPr>
          <w:rFonts w:hint="eastAsia"/>
          <w:szCs w:val="28"/>
        </w:rPr>
        <w:t>项国家标准，覆盖了定义、参考架构、测评、具体行业应用等环节，而区块链目前刚刚完成基础标准制定，距离工业和信息化部</w:t>
      </w:r>
      <w:r>
        <w:rPr>
          <w:rFonts w:hint="eastAsia"/>
          <w:szCs w:val="28"/>
        </w:rPr>
        <w:t>2018</w:t>
      </w:r>
      <w:r>
        <w:rPr>
          <w:rFonts w:hint="eastAsia"/>
          <w:szCs w:val="28"/>
        </w:rPr>
        <w:t>年规划的“</w:t>
      </w:r>
      <w:r>
        <w:rPr>
          <w:rFonts w:hint="eastAsia"/>
          <w:szCs w:val="28"/>
        </w:rPr>
        <w:t>5</w:t>
      </w:r>
      <w:r>
        <w:rPr>
          <w:rFonts w:hint="eastAsia"/>
          <w:szCs w:val="28"/>
        </w:rPr>
        <w:t>类</w:t>
      </w:r>
      <w:r>
        <w:rPr>
          <w:rFonts w:hint="eastAsia"/>
          <w:szCs w:val="28"/>
        </w:rPr>
        <w:t>22</w:t>
      </w:r>
      <w:r>
        <w:rPr>
          <w:rFonts w:hint="eastAsia"/>
          <w:szCs w:val="28"/>
        </w:rPr>
        <w:t>项”区块链标准体系还有很长的路要走。</w:t>
      </w:r>
    </w:p>
    <w:p w:rsidR="00155EA0" w:rsidRDefault="009549C5">
      <w:pPr>
        <w:spacing w:line="560" w:lineRule="exact"/>
        <w:ind w:firstLine="560"/>
        <w:jc w:val="left"/>
        <w:outlineLvl w:val="2"/>
        <w:rPr>
          <w:szCs w:val="28"/>
        </w:rPr>
      </w:pPr>
      <w:r>
        <w:rPr>
          <w:rFonts w:hint="eastAsia"/>
          <w:szCs w:val="28"/>
        </w:rPr>
        <w:t>3</w:t>
      </w:r>
      <w:r>
        <w:rPr>
          <w:szCs w:val="28"/>
        </w:rPr>
        <w:t>.3.3</w:t>
      </w:r>
      <w:r>
        <w:rPr>
          <w:rFonts w:hint="eastAsia"/>
          <w:szCs w:val="28"/>
        </w:rPr>
        <w:t>积极采标现行国际标准，参与制定未来国际标准</w:t>
      </w:r>
    </w:p>
    <w:p w:rsidR="00155EA0" w:rsidRDefault="009549C5">
      <w:pPr>
        <w:spacing w:line="560" w:lineRule="exact"/>
        <w:ind w:firstLine="560"/>
        <w:jc w:val="left"/>
        <w:rPr>
          <w:szCs w:val="28"/>
        </w:rPr>
      </w:pPr>
      <w:r>
        <w:rPr>
          <w:rFonts w:hint="eastAsia"/>
          <w:szCs w:val="28"/>
        </w:rPr>
        <w:t>我国在制定协调国内各级标准外，也认真研究和推广国际标准，多项国家标准和行业标准在制定时就采标国际相应标准。将我国标准化体系与国际标准相兼容，是增强我国技术竞争力、改进技术先进性的最优方式，也是吸收国际经验、理解国际共识的最佳途径。</w:t>
      </w:r>
    </w:p>
    <w:p w:rsidR="00155EA0" w:rsidRDefault="00155EA0">
      <w:pPr>
        <w:spacing w:line="560" w:lineRule="exact"/>
        <w:ind w:firstLine="480"/>
        <w:jc w:val="left"/>
        <w:rPr>
          <w:sz w:val="24"/>
        </w:rPr>
      </w:pPr>
    </w:p>
    <w:p w:rsidR="00155EA0" w:rsidRDefault="009549C5">
      <w:pPr>
        <w:pStyle w:val="1"/>
        <w:rPr>
          <w:rFonts w:ascii="宋体" w:hAnsi="宋体"/>
        </w:rPr>
      </w:pPr>
      <w:r>
        <w:rPr>
          <w:rFonts w:ascii="宋体" w:hAnsi="宋体" w:hint="eastAsia"/>
        </w:rPr>
        <w:lastRenderedPageBreak/>
        <w:t>4.调研</w:t>
      </w:r>
      <w:r>
        <w:rPr>
          <w:rFonts w:ascii="宋体" w:hAnsi="宋体"/>
        </w:rPr>
        <w:t>情况</w:t>
      </w:r>
      <w:r>
        <w:rPr>
          <w:rFonts w:ascii="宋体" w:hAnsi="宋体" w:hint="eastAsia"/>
        </w:rPr>
        <w:t>分析</w:t>
      </w:r>
      <w:bookmarkEnd w:id="26"/>
      <w:bookmarkEnd w:id="27"/>
      <w:bookmarkEnd w:id="28"/>
    </w:p>
    <w:p w:rsidR="00155EA0" w:rsidRDefault="009549C5">
      <w:pPr>
        <w:pStyle w:val="2"/>
        <w:rPr>
          <w:rFonts w:ascii="宋体" w:hAnsi="宋体"/>
        </w:rPr>
      </w:pPr>
      <w:bookmarkStart w:id="31" w:name="_Toc145343486"/>
      <w:bookmarkStart w:id="32" w:name="_Toc97303434"/>
      <w:bookmarkStart w:id="33" w:name="_Toc973"/>
      <w:r>
        <w:rPr>
          <w:rFonts w:ascii="宋体" w:hAnsi="宋体" w:hint="eastAsia"/>
        </w:rPr>
        <w:t>4.1 调研方式</w:t>
      </w:r>
      <w:bookmarkEnd w:id="31"/>
      <w:bookmarkEnd w:id="32"/>
      <w:bookmarkEnd w:id="33"/>
    </w:p>
    <w:p w:rsidR="00155EA0" w:rsidRDefault="009549C5">
      <w:pPr>
        <w:ind w:firstLine="560"/>
        <w:rPr>
          <w:rFonts w:ascii="宋体" w:hAnsi="宋体"/>
        </w:rPr>
      </w:pPr>
      <w:r>
        <w:rPr>
          <w:rFonts w:ascii="宋体" w:hAnsi="宋体" w:hint="eastAsia"/>
        </w:rPr>
        <w:t>1、调研</w:t>
      </w:r>
      <w:r>
        <w:rPr>
          <w:rFonts w:ascii="宋体" w:hAnsi="宋体"/>
        </w:rPr>
        <w:t>方式</w:t>
      </w:r>
    </w:p>
    <w:p w:rsidR="00155EA0" w:rsidRDefault="009549C5">
      <w:pPr>
        <w:ind w:firstLine="560"/>
        <w:rPr>
          <w:rFonts w:ascii="宋体" w:hAnsi="宋体"/>
        </w:rPr>
      </w:pPr>
      <w:r>
        <w:rPr>
          <w:rFonts w:ascii="宋体" w:hAnsi="宋体" w:hint="eastAsia"/>
        </w:rPr>
        <w:t>文献、标准、资料检索；</w:t>
      </w:r>
    </w:p>
    <w:p w:rsidR="00155EA0" w:rsidRDefault="009549C5">
      <w:pPr>
        <w:ind w:firstLine="560"/>
        <w:rPr>
          <w:rFonts w:ascii="宋体" w:hAnsi="宋体"/>
        </w:rPr>
      </w:pPr>
      <w:r>
        <w:rPr>
          <w:rFonts w:ascii="宋体" w:hAnsi="宋体" w:hint="eastAsia"/>
        </w:rPr>
        <w:t>依托高校、行业专家、协会，通过现场调研、座谈、电话咨询等形式进行技术交流。</w:t>
      </w:r>
    </w:p>
    <w:p w:rsidR="00155EA0" w:rsidRDefault="009549C5">
      <w:pPr>
        <w:ind w:firstLine="560"/>
        <w:rPr>
          <w:rFonts w:ascii="宋体" w:hAnsi="宋体"/>
        </w:rPr>
      </w:pPr>
      <w:r>
        <w:rPr>
          <w:rFonts w:ascii="宋体" w:hAnsi="宋体" w:hint="eastAsia"/>
        </w:rPr>
        <w:t>2、调研</w:t>
      </w:r>
      <w:r>
        <w:rPr>
          <w:rFonts w:ascii="宋体" w:hAnsi="宋体"/>
        </w:rPr>
        <w:t>渠道</w:t>
      </w:r>
    </w:p>
    <w:p w:rsidR="00155EA0" w:rsidRDefault="009549C5">
      <w:pPr>
        <w:ind w:firstLine="560"/>
        <w:rPr>
          <w:rFonts w:ascii="宋体" w:hAnsi="宋体"/>
        </w:rPr>
      </w:pPr>
      <w:r>
        <w:rPr>
          <w:rFonts w:ascii="宋体" w:hAnsi="宋体" w:hint="eastAsia"/>
        </w:rPr>
        <w:t>文献检索：SCI、EI、知网、维普网等；</w:t>
      </w:r>
    </w:p>
    <w:p w:rsidR="00155EA0" w:rsidRDefault="009549C5">
      <w:pPr>
        <w:ind w:firstLine="560"/>
        <w:rPr>
          <w:rFonts w:ascii="宋体" w:hAnsi="宋体"/>
        </w:rPr>
      </w:pPr>
      <w:r>
        <w:rPr>
          <w:rFonts w:ascii="宋体" w:hAnsi="宋体" w:hint="eastAsia"/>
        </w:rPr>
        <w:t>标准分析：全国标准信息公共服务平台。</w:t>
      </w:r>
    </w:p>
    <w:p w:rsidR="00155EA0" w:rsidRDefault="009549C5">
      <w:pPr>
        <w:ind w:firstLine="560"/>
        <w:rPr>
          <w:rFonts w:ascii="宋体" w:hAnsi="宋体"/>
        </w:rPr>
      </w:pPr>
      <w:r>
        <w:rPr>
          <w:rFonts w:ascii="宋体" w:hAnsi="宋体"/>
        </w:rPr>
        <w:t>相关</w:t>
      </w:r>
      <w:r>
        <w:rPr>
          <w:rFonts w:ascii="宋体" w:hAnsi="宋体" w:hint="eastAsia"/>
        </w:rPr>
        <w:t>机构</w:t>
      </w:r>
      <w:r>
        <w:rPr>
          <w:rFonts w:ascii="宋体" w:hAnsi="宋体"/>
        </w:rPr>
        <w:t>调研</w:t>
      </w:r>
    </w:p>
    <w:p w:rsidR="00155EA0" w:rsidRDefault="009549C5">
      <w:pPr>
        <w:ind w:firstLineChars="0" w:firstLine="0"/>
        <w:rPr>
          <w:rFonts w:ascii="宋体" w:hAnsi="宋体"/>
          <w:color w:val="FF0000"/>
        </w:rPr>
      </w:pPr>
      <w:r>
        <w:rPr>
          <w:rFonts w:hint="eastAsia"/>
        </w:rPr>
        <w:t xml:space="preserve"> </w:t>
      </w:r>
      <w:r>
        <w:t xml:space="preserve">   </w:t>
      </w:r>
      <w:r>
        <w:rPr>
          <w:rFonts w:hint="eastAsia"/>
        </w:rPr>
        <w:t>江苏省质量与标准化研究院、南京证券、同济区块链研究院等。</w:t>
      </w:r>
    </w:p>
    <w:p w:rsidR="00155EA0" w:rsidRDefault="009549C5">
      <w:pPr>
        <w:pStyle w:val="2"/>
        <w:rPr>
          <w:rFonts w:ascii="宋体" w:hAnsi="宋体"/>
        </w:rPr>
      </w:pPr>
      <w:bookmarkStart w:id="34" w:name="_Toc97303435"/>
      <w:bookmarkStart w:id="35" w:name="_Toc145343487"/>
      <w:bookmarkStart w:id="36" w:name="_Toc21297"/>
      <w:r>
        <w:rPr>
          <w:rFonts w:ascii="宋体" w:hAnsi="宋体" w:hint="eastAsia"/>
        </w:rPr>
        <w:t>4.2 调研主要文件</w:t>
      </w:r>
      <w:bookmarkEnd w:id="34"/>
      <w:bookmarkEnd w:id="35"/>
      <w:bookmarkEnd w:id="36"/>
    </w:p>
    <w:p w:rsidR="00155EA0" w:rsidRDefault="009549C5">
      <w:pPr>
        <w:ind w:firstLine="560"/>
        <w:rPr>
          <w:rFonts w:ascii="宋体" w:hAnsi="宋体"/>
        </w:rPr>
      </w:pPr>
      <w:r>
        <w:rPr>
          <w:rFonts w:ascii="宋体" w:hAnsi="宋体" w:hint="eastAsia"/>
        </w:rPr>
        <w:t>调研积累</w:t>
      </w:r>
      <w:r>
        <w:rPr>
          <w:rFonts w:ascii="宋体" w:hAnsi="宋体"/>
        </w:rPr>
        <w:t xml:space="preserve">主要文件如下： </w:t>
      </w:r>
    </w:p>
    <w:p w:rsidR="00155EA0" w:rsidRDefault="009549C5">
      <w:pPr>
        <w:ind w:firstLine="560"/>
        <w:rPr>
          <w:rFonts w:ascii="宋体" w:hAnsi="宋体"/>
        </w:rPr>
      </w:pPr>
      <w:r>
        <w:rPr>
          <w:rFonts w:ascii="宋体" w:hAnsi="宋体"/>
        </w:rPr>
        <w:t>1</w:t>
      </w:r>
      <w:r>
        <w:rPr>
          <w:rFonts w:ascii="宋体" w:hAnsi="宋体" w:hint="eastAsia"/>
        </w:rPr>
        <w:t>、相关标准</w:t>
      </w:r>
      <w:r>
        <w:rPr>
          <w:rFonts w:ascii="宋体" w:hAnsi="宋体"/>
        </w:rPr>
        <w:t>：</w:t>
      </w:r>
    </w:p>
    <w:p w:rsidR="00155EA0" w:rsidRDefault="009549C5">
      <w:pPr>
        <w:ind w:firstLine="560"/>
        <w:rPr>
          <w:rFonts w:ascii="宋体" w:hAnsi="宋体"/>
        </w:rPr>
      </w:pPr>
      <w:r>
        <w:rPr>
          <w:rFonts w:ascii="宋体" w:hAnsi="宋体" w:hint="eastAsia"/>
        </w:rPr>
        <w:t>在标准编制过程中，起草工作组收集了以下现行资料：</w:t>
      </w:r>
    </w:p>
    <w:p w:rsidR="00155EA0" w:rsidRDefault="009549C5">
      <w:pPr>
        <w:ind w:firstLine="560"/>
        <w:rPr>
          <w:rFonts w:ascii="宋体" w:hAnsi="宋体"/>
        </w:rPr>
      </w:pPr>
      <w:r>
        <w:rPr>
          <w:rFonts w:ascii="宋体" w:hAnsi="宋体" w:hint="eastAsia"/>
        </w:rPr>
        <w:t xml:space="preserve">[1] GB/T 11457—2006 信息技术 软件工程术语 </w:t>
      </w:r>
    </w:p>
    <w:p w:rsidR="00155EA0" w:rsidRDefault="009549C5">
      <w:pPr>
        <w:ind w:firstLine="560"/>
        <w:rPr>
          <w:rFonts w:ascii="宋体" w:hAnsi="宋体"/>
        </w:rPr>
      </w:pPr>
      <w:r>
        <w:rPr>
          <w:rFonts w:ascii="宋体" w:hAnsi="宋体" w:hint="eastAsia"/>
        </w:rPr>
        <w:t xml:space="preserve">[2] GB/T 25069—2010 信息安全技术 术语 </w:t>
      </w:r>
    </w:p>
    <w:p w:rsidR="00155EA0" w:rsidRDefault="009549C5">
      <w:pPr>
        <w:ind w:firstLine="560"/>
        <w:rPr>
          <w:rFonts w:ascii="宋体" w:hAnsi="宋体"/>
        </w:rPr>
      </w:pPr>
      <w:r>
        <w:rPr>
          <w:rFonts w:ascii="宋体" w:hAnsi="宋体" w:hint="eastAsia"/>
        </w:rPr>
        <w:t xml:space="preserve">[3] GB/T 32399—2015 信息技术 云计算 参考架构 </w:t>
      </w:r>
    </w:p>
    <w:p w:rsidR="00155EA0" w:rsidRDefault="009549C5">
      <w:pPr>
        <w:ind w:firstLine="560"/>
        <w:rPr>
          <w:rFonts w:ascii="宋体" w:hAnsi="宋体"/>
        </w:rPr>
      </w:pPr>
      <w:r>
        <w:rPr>
          <w:rFonts w:ascii="宋体" w:hAnsi="宋体" w:hint="eastAsia"/>
        </w:rPr>
        <w:t xml:space="preserve">[4] JR/T 0184—2020 金融分布式账本技术安全规范 </w:t>
      </w:r>
    </w:p>
    <w:p w:rsidR="00155EA0" w:rsidRDefault="009549C5">
      <w:pPr>
        <w:ind w:firstLine="560"/>
        <w:rPr>
          <w:rFonts w:ascii="宋体" w:hAnsi="宋体"/>
        </w:rPr>
      </w:pPr>
      <w:r>
        <w:rPr>
          <w:rFonts w:ascii="宋体" w:hAnsi="宋体" w:hint="eastAsia"/>
        </w:rPr>
        <w:t xml:space="preserve">[5] CBD-Forum-001-2017 区块链参考架构 </w:t>
      </w:r>
    </w:p>
    <w:p w:rsidR="00155EA0" w:rsidRDefault="009549C5">
      <w:pPr>
        <w:ind w:firstLine="560"/>
        <w:rPr>
          <w:rFonts w:ascii="宋体" w:hAnsi="宋体"/>
        </w:rPr>
      </w:pPr>
      <w:r>
        <w:rPr>
          <w:rFonts w:ascii="宋体" w:hAnsi="宋体"/>
        </w:rPr>
        <w:t xml:space="preserve">[6] ISACA COBIT 5: A Business Framework for the Governance and Management of Enterprise IT </w:t>
      </w:r>
    </w:p>
    <w:p w:rsidR="00155EA0" w:rsidRDefault="009549C5">
      <w:pPr>
        <w:ind w:firstLine="560"/>
        <w:rPr>
          <w:rFonts w:ascii="宋体" w:hAnsi="宋体"/>
        </w:rPr>
      </w:pPr>
      <w:r>
        <w:rPr>
          <w:rFonts w:ascii="宋体" w:hAnsi="宋体" w:hint="eastAsia"/>
        </w:rPr>
        <w:lastRenderedPageBreak/>
        <w:t xml:space="preserve">[7] ISO/IEC 9804:1998 信息技术 开放系统互连、托付、并发和恢复服务元素的服务定义 </w:t>
      </w:r>
    </w:p>
    <w:p w:rsidR="00155EA0" w:rsidRDefault="009549C5">
      <w:pPr>
        <w:ind w:firstLine="560"/>
        <w:rPr>
          <w:rFonts w:ascii="宋体" w:hAnsi="宋体"/>
        </w:rPr>
      </w:pPr>
      <w:r>
        <w:rPr>
          <w:rFonts w:ascii="宋体" w:hAnsi="宋体" w:hint="eastAsia"/>
        </w:rPr>
        <w:t xml:space="preserve">（ Information technology - Open systems interconnection - Service definition for the </w:t>
      </w:r>
    </w:p>
    <w:p w:rsidR="00155EA0" w:rsidRDefault="009549C5">
      <w:pPr>
        <w:ind w:firstLine="560"/>
        <w:rPr>
          <w:rFonts w:ascii="宋体" w:hAnsi="宋体"/>
        </w:rPr>
      </w:pPr>
      <w:r>
        <w:rPr>
          <w:rFonts w:ascii="宋体" w:hAnsi="宋体" w:hint="eastAsia"/>
        </w:rPr>
        <w:t xml:space="preserve">commitment, concurrency and recovery service element） </w:t>
      </w:r>
    </w:p>
    <w:p w:rsidR="00155EA0" w:rsidRDefault="009549C5">
      <w:pPr>
        <w:ind w:firstLine="560"/>
        <w:rPr>
          <w:rFonts w:ascii="宋体" w:hAnsi="宋体"/>
        </w:rPr>
      </w:pPr>
      <w:r>
        <w:rPr>
          <w:rFonts w:ascii="宋体" w:hAnsi="宋体" w:hint="eastAsia"/>
        </w:rPr>
        <w:t xml:space="preserve">[8] FISCO BCOS 白皮书 </w:t>
      </w:r>
    </w:p>
    <w:p w:rsidR="00155EA0" w:rsidRDefault="009549C5">
      <w:pPr>
        <w:ind w:firstLine="560"/>
        <w:rPr>
          <w:rFonts w:ascii="宋体" w:hAnsi="宋体"/>
        </w:rPr>
      </w:pPr>
      <w:r>
        <w:rPr>
          <w:rFonts w:ascii="宋体" w:hAnsi="宋体" w:hint="eastAsia"/>
        </w:rPr>
        <w:t>[9] 中华人民共和国密码法</w:t>
      </w:r>
    </w:p>
    <w:p w:rsidR="00155EA0" w:rsidRDefault="009549C5">
      <w:pPr>
        <w:pStyle w:val="2"/>
        <w:rPr>
          <w:rFonts w:ascii="宋体" w:hAnsi="宋体"/>
        </w:rPr>
      </w:pPr>
      <w:bookmarkStart w:id="37" w:name="_Toc145343488"/>
      <w:bookmarkEnd w:id="29"/>
      <w:r>
        <w:rPr>
          <w:rFonts w:ascii="宋体" w:hAnsi="宋体" w:hint="eastAsia"/>
        </w:rPr>
        <w:t>4.3 调研成效</w:t>
      </w:r>
      <w:bookmarkEnd w:id="37"/>
    </w:p>
    <w:p w:rsidR="00155EA0" w:rsidRDefault="009549C5">
      <w:pPr>
        <w:ind w:firstLineChars="0" w:firstLine="420"/>
      </w:pPr>
      <w:bookmarkStart w:id="38" w:name="_Toc21597"/>
      <w:r>
        <w:rPr>
          <w:rFonts w:hint="eastAsia"/>
        </w:rPr>
        <w:t>在调研过程中，调研单位认真研讨了标准草案，根据实际使用情况，提出了反馈意见。标准编制组针对意见进行了论证，对草案进行了完善。</w:t>
      </w:r>
    </w:p>
    <w:p w:rsidR="00155EA0" w:rsidRDefault="009549C5">
      <w:pPr>
        <w:pStyle w:val="1"/>
        <w:rPr>
          <w:rFonts w:ascii="宋体" w:hAnsi="宋体"/>
        </w:rPr>
      </w:pPr>
      <w:bookmarkStart w:id="39" w:name="_Toc145343489"/>
      <w:r>
        <w:rPr>
          <w:rFonts w:ascii="宋体" w:hAnsi="宋体" w:hint="eastAsia"/>
        </w:rPr>
        <w:lastRenderedPageBreak/>
        <w:t>5.标准编制原则和依据</w:t>
      </w:r>
      <w:bookmarkEnd w:id="38"/>
      <w:bookmarkEnd w:id="39"/>
    </w:p>
    <w:p w:rsidR="00155EA0" w:rsidRDefault="009549C5">
      <w:pPr>
        <w:ind w:firstLine="560"/>
        <w:rPr>
          <w:rFonts w:ascii="宋体" w:hAnsi="宋体"/>
        </w:rPr>
      </w:pPr>
      <w:r>
        <w:rPr>
          <w:rFonts w:ascii="宋体" w:hAnsi="宋体" w:hint="eastAsia"/>
        </w:rPr>
        <w:t>本标准为推荐性标准，非强制性标准。</w:t>
      </w:r>
    </w:p>
    <w:p w:rsidR="00155EA0" w:rsidRDefault="009549C5">
      <w:pPr>
        <w:ind w:firstLine="560"/>
        <w:rPr>
          <w:rFonts w:ascii="宋体" w:hAnsi="宋体"/>
        </w:rPr>
      </w:pPr>
      <w:r>
        <w:rPr>
          <w:rFonts w:ascii="宋体" w:hAnsi="宋体" w:hint="eastAsia"/>
        </w:rPr>
        <w:t>本标准参考国际标准组织W3C的标准规范。</w:t>
      </w:r>
    </w:p>
    <w:p w:rsidR="00155EA0" w:rsidRDefault="009549C5">
      <w:pPr>
        <w:ind w:firstLine="560"/>
        <w:rPr>
          <w:rFonts w:ascii="宋体" w:hAnsi="宋体"/>
        </w:rPr>
      </w:pPr>
      <w:r>
        <w:rPr>
          <w:rFonts w:ascii="宋体" w:hAnsi="宋体" w:hint="eastAsia"/>
        </w:rPr>
        <w:t>本标准在制定过程中未查到同类国际标准，符合国家现行的法律法规和标准化工作的有关规定；符合国家标准的立项范围和指导原则，同现行国家标准没有交叉</w:t>
      </w:r>
    </w:p>
    <w:p w:rsidR="00155EA0" w:rsidRDefault="009549C5">
      <w:pPr>
        <w:ind w:firstLine="560"/>
        <w:rPr>
          <w:rFonts w:ascii="宋体" w:hAnsi="宋体"/>
        </w:rPr>
      </w:pPr>
      <w:r>
        <w:rPr>
          <w:rFonts w:ascii="宋体" w:hAnsi="宋体" w:hint="eastAsia"/>
        </w:rPr>
        <w:t>本标准主要参考了GB/T 35273-2020《信息安全技术 个人信息安全规范》、GB/T 22239-2019《信息安全技术网络安全等级保护基本要求》、GB/T 25069-2010《信息安全技术 术语》、JR/T 0184-2020《金融分布式账本技术安全规范》、CBD-Forum-001-2017 区块链-参考架构、CBD-Forum-002-2017 区块链-数据格式。</w:t>
      </w:r>
    </w:p>
    <w:p w:rsidR="00155EA0" w:rsidRDefault="009549C5">
      <w:pPr>
        <w:ind w:firstLine="560"/>
        <w:rPr>
          <w:rFonts w:ascii="宋体" w:hAnsi="宋体"/>
        </w:rPr>
      </w:pPr>
      <w:r>
        <w:rPr>
          <w:rFonts w:ascii="宋体" w:hAnsi="宋体" w:hint="eastAsia"/>
        </w:rPr>
        <w:t>本标准的总体技术水平属于国内领先水平。</w:t>
      </w:r>
    </w:p>
    <w:p w:rsidR="00155EA0" w:rsidRDefault="009549C5">
      <w:pPr>
        <w:ind w:firstLine="560"/>
        <w:rPr>
          <w:rFonts w:ascii="宋体" w:hAnsi="宋体"/>
        </w:rPr>
      </w:pPr>
      <w:r>
        <w:rPr>
          <w:rFonts w:ascii="宋体" w:hAnsi="宋体" w:hint="eastAsia"/>
        </w:rPr>
        <w:t>本标准与相关法律、法规、规章及相关标准协调一致，没有冲突。</w:t>
      </w:r>
    </w:p>
    <w:p w:rsidR="00155EA0" w:rsidRDefault="009549C5">
      <w:pPr>
        <w:pStyle w:val="1"/>
        <w:numPr>
          <w:ilvl w:val="0"/>
          <w:numId w:val="21"/>
        </w:numPr>
        <w:rPr>
          <w:rFonts w:ascii="宋体" w:hAnsi="宋体"/>
        </w:rPr>
      </w:pPr>
      <w:bookmarkStart w:id="40" w:name="_Toc11499"/>
      <w:bookmarkStart w:id="41" w:name="_Toc97303511"/>
      <w:bookmarkStart w:id="42" w:name="_Toc145343492"/>
      <w:r>
        <w:rPr>
          <w:rFonts w:ascii="宋体" w:hAnsi="宋体" w:hint="eastAsia"/>
        </w:rPr>
        <w:lastRenderedPageBreak/>
        <w:t>编制思路和工作程序</w:t>
      </w:r>
      <w:bookmarkEnd w:id="40"/>
      <w:bookmarkEnd w:id="41"/>
      <w:bookmarkEnd w:id="42"/>
    </w:p>
    <w:p w:rsidR="00155EA0" w:rsidRDefault="009549C5">
      <w:pPr>
        <w:pStyle w:val="2"/>
        <w:rPr>
          <w:rFonts w:ascii="宋体" w:hAnsi="宋体"/>
        </w:rPr>
      </w:pPr>
      <w:bookmarkStart w:id="43" w:name="_Toc4210"/>
      <w:bookmarkStart w:id="44" w:name="_Toc97303512"/>
      <w:bookmarkStart w:id="45" w:name="_Toc145343493"/>
      <w:r>
        <w:rPr>
          <w:rFonts w:ascii="宋体" w:hAnsi="宋体" w:hint="eastAsia"/>
        </w:rPr>
        <w:t>6.1编制思路</w:t>
      </w:r>
      <w:bookmarkEnd w:id="43"/>
      <w:bookmarkEnd w:id="44"/>
      <w:bookmarkEnd w:id="45"/>
    </w:p>
    <w:p w:rsidR="00155EA0" w:rsidRDefault="009549C5">
      <w:pPr>
        <w:ind w:firstLine="560"/>
        <w:rPr>
          <w:rFonts w:ascii="宋体" w:hAnsi="宋体"/>
        </w:rPr>
      </w:pPr>
      <w:r>
        <w:rPr>
          <w:rFonts w:ascii="宋体" w:hAnsi="宋体" w:hint="eastAsia"/>
        </w:rPr>
        <w:t>调研分析国内外区块链平台及相关标准情况，深入了解系统架构、功能要求等内容，收集相关调研资料和相关国内外标准，为标准编制提供依据和参考。</w:t>
      </w:r>
    </w:p>
    <w:p w:rsidR="00155EA0" w:rsidRDefault="009549C5">
      <w:pPr>
        <w:ind w:firstLine="560"/>
        <w:rPr>
          <w:rFonts w:ascii="宋体" w:hAnsi="宋体"/>
        </w:rPr>
      </w:pPr>
      <w:r>
        <w:rPr>
          <w:rFonts w:ascii="宋体" w:hAnsi="宋体" w:hint="eastAsia"/>
        </w:rPr>
        <w:t>调研分析</w:t>
      </w:r>
      <w:r>
        <w:rPr>
          <w:rFonts w:ascii="宋体" w:hAnsi="宋体"/>
        </w:rPr>
        <w:t>现有</w:t>
      </w:r>
      <w:r>
        <w:rPr>
          <w:rFonts w:ascii="宋体" w:hAnsi="宋体" w:hint="eastAsia"/>
        </w:rPr>
        <w:t>区块链平台功能、性能等指标</w:t>
      </w:r>
      <w:r>
        <w:rPr>
          <w:rFonts w:ascii="宋体" w:hAnsi="宋体"/>
        </w:rPr>
        <w:t>，分析标准制定需求</w:t>
      </w:r>
      <w:r>
        <w:rPr>
          <w:rFonts w:ascii="宋体" w:hAnsi="宋体" w:hint="eastAsia"/>
        </w:rPr>
        <w:t>，为标准编制提供依据和参考。</w:t>
      </w:r>
    </w:p>
    <w:p w:rsidR="00155EA0" w:rsidRDefault="009549C5">
      <w:pPr>
        <w:pStyle w:val="2"/>
        <w:rPr>
          <w:rFonts w:ascii="宋体" w:hAnsi="宋体"/>
        </w:rPr>
      </w:pPr>
      <w:bookmarkStart w:id="46" w:name="_Toc97303513"/>
      <w:bookmarkStart w:id="47" w:name="_Toc145343494"/>
      <w:bookmarkStart w:id="48" w:name="_Toc20599"/>
      <w:r>
        <w:rPr>
          <w:rFonts w:ascii="宋体" w:hAnsi="宋体" w:hint="eastAsia"/>
        </w:rPr>
        <w:t>6.2 工作程序</w:t>
      </w:r>
      <w:bookmarkEnd w:id="46"/>
      <w:bookmarkEnd w:id="47"/>
      <w:bookmarkEnd w:id="48"/>
    </w:p>
    <w:p w:rsidR="00155EA0" w:rsidRDefault="009549C5">
      <w:pPr>
        <w:ind w:firstLine="560"/>
        <w:rPr>
          <w:rFonts w:ascii="宋体" w:hAnsi="宋体"/>
        </w:rPr>
      </w:pPr>
      <w:r>
        <w:rPr>
          <w:rFonts w:ascii="宋体" w:hAnsi="宋体"/>
        </w:rPr>
        <w:t>本</w:t>
      </w:r>
      <w:r>
        <w:rPr>
          <w:rFonts w:ascii="宋体" w:hAnsi="宋体" w:hint="eastAsia"/>
        </w:rPr>
        <w:t>标准</w:t>
      </w:r>
      <w:r>
        <w:rPr>
          <w:rFonts w:ascii="宋体" w:hAnsi="宋体"/>
        </w:rPr>
        <w:t>在调查梳理现有规范基础上，结合国内外相关研究探索、实践经验，开展以下几方面工作：</w:t>
      </w:r>
    </w:p>
    <w:p w:rsidR="00155EA0" w:rsidRDefault="009549C5">
      <w:pPr>
        <w:ind w:firstLine="560"/>
        <w:rPr>
          <w:rFonts w:ascii="宋体" w:hAnsi="宋体"/>
        </w:rPr>
      </w:pPr>
      <w:r>
        <w:rPr>
          <w:rFonts w:ascii="宋体" w:hAnsi="宋体" w:hint="eastAsia"/>
        </w:rPr>
        <w:t>（1）系统调研</w:t>
      </w:r>
    </w:p>
    <w:p w:rsidR="00155EA0" w:rsidRDefault="009549C5">
      <w:pPr>
        <w:ind w:firstLine="560"/>
        <w:rPr>
          <w:rFonts w:ascii="宋体" w:hAnsi="宋体"/>
        </w:rPr>
      </w:pPr>
      <w:r>
        <w:rPr>
          <w:rFonts w:ascii="宋体" w:hAnsi="宋体"/>
        </w:rPr>
        <w:t>与典型行业的单位、企业</w:t>
      </w:r>
      <w:r>
        <w:rPr>
          <w:rFonts w:ascii="宋体" w:hAnsi="宋体" w:hint="eastAsia"/>
        </w:rPr>
        <w:t>、用户单位</w:t>
      </w:r>
      <w:r>
        <w:rPr>
          <w:rFonts w:ascii="宋体" w:hAnsi="宋体"/>
        </w:rPr>
        <w:t>开展会议交流，了解</w:t>
      </w:r>
      <w:r>
        <w:rPr>
          <w:rFonts w:ascii="宋体" w:hAnsi="宋体" w:hint="eastAsia"/>
        </w:rPr>
        <w:t>区块按建设基本</w:t>
      </w:r>
      <w:r>
        <w:rPr>
          <w:rFonts w:ascii="宋体" w:hAnsi="宋体"/>
        </w:rPr>
        <w:t>需求。</w:t>
      </w:r>
    </w:p>
    <w:p w:rsidR="00155EA0" w:rsidRDefault="009549C5">
      <w:pPr>
        <w:ind w:firstLine="560"/>
        <w:rPr>
          <w:rFonts w:ascii="宋体" w:hAnsi="宋体"/>
        </w:rPr>
      </w:pPr>
      <w:r>
        <w:rPr>
          <w:rFonts w:ascii="宋体" w:hAnsi="宋体" w:hint="eastAsia"/>
        </w:rPr>
        <w:t>（3）标准架构</w:t>
      </w:r>
      <w:r>
        <w:rPr>
          <w:rFonts w:ascii="宋体" w:hAnsi="宋体"/>
        </w:rPr>
        <w:t>确定</w:t>
      </w:r>
    </w:p>
    <w:p w:rsidR="00155EA0" w:rsidRDefault="009549C5">
      <w:pPr>
        <w:ind w:firstLine="560"/>
        <w:rPr>
          <w:rFonts w:ascii="宋体" w:hAnsi="宋体"/>
        </w:rPr>
      </w:pPr>
      <w:r>
        <w:rPr>
          <w:rFonts w:ascii="宋体" w:hAnsi="宋体"/>
        </w:rPr>
        <w:t>在调查整理现有</w:t>
      </w:r>
      <w:r>
        <w:rPr>
          <w:rFonts w:ascii="宋体" w:hAnsi="宋体" w:hint="eastAsia"/>
        </w:rPr>
        <w:t>区块链技术</w:t>
      </w:r>
      <w:r>
        <w:rPr>
          <w:rFonts w:ascii="宋体" w:hAnsi="宋体"/>
        </w:rPr>
        <w:t>趋势</w:t>
      </w:r>
      <w:r>
        <w:rPr>
          <w:rFonts w:ascii="宋体" w:hAnsi="宋体" w:hint="eastAsia"/>
        </w:rPr>
        <w:t>以及</w:t>
      </w:r>
      <w:r>
        <w:rPr>
          <w:rFonts w:ascii="宋体" w:hAnsi="宋体"/>
        </w:rPr>
        <w:t>标准的基础上，凝练出</w:t>
      </w:r>
      <w:r>
        <w:rPr>
          <w:rFonts w:ascii="宋体" w:hAnsi="宋体" w:hint="eastAsia"/>
        </w:rPr>
        <w:t>本标准中的主要功能架构</w:t>
      </w:r>
      <w:r>
        <w:rPr>
          <w:rFonts w:ascii="宋体" w:hAnsi="宋体"/>
        </w:rPr>
        <w:t>。</w:t>
      </w:r>
    </w:p>
    <w:p w:rsidR="00155EA0" w:rsidRDefault="009549C5">
      <w:pPr>
        <w:ind w:firstLine="560"/>
        <w:rPr>
          <w:rFonts w:ascii="宋体" w:hAnsi="宋体"/>
        </w:rPr>
      </w:pPr>
      <w:r>
        <w:rPr>
          <w:rFonts w:ascii="宋体" w:hAnsi="宋体" w:hint="eastAsia"/>
        </w:rPr>
        <w:t>（4）</w:t>
      </w:r>
      <w:r>
        <w:rPr>
          <w:rFonts w:ascii="宋体" w:hAnsi="宋体"/>
        </w:rPr>
        <w:t>编制规范标准</w:t>
      </w:r>
    </w:p>
    <w:p w:rsidR="00155EA0" w:rsidRDefault="009549C5">
      <w:pPr>
        <w:ind w:firstLine="560"/>
        <w:rPr>
          <w:rFonts w:ascii="宋体" w:hAnsi="宋体"/>
        </w:rPr>
      </w:pPr>
      <w:r>
        <w:rPr>
          <w:rFonts w:ascii="宋体" w:hAnsi="宋体"/>
        </w:rPr>
        <w:t>整理汇编出</w:t>
      </w:r>
      <w:r>
        <w:rPr>
          <w:rFonts w:ascii="宋体" w:hAnsi="宋体" w:hint="eastAsia"/>
        </w:rPr>
        <w:t>区块链的基本功能、性能、安全等需求并编制</w:t>
      </w:r>
      <w:r>
        <w:rPr>
          <w:rFonts w:ascii="宋体" w:hAnsi="宋体"/>
        </w:rPr>
        <w:t>各项细则。</w:t>
      </w:r>
    </w:p>
    <w:p w:rsidR="00155EA0" w:rsidRDefault="009549C5">
      <w:pPr>
        <w:pStyle w:val="1"/>
        <w:rPr>
          <w:rFonts w:ascii="宋体" w:hAnsi="宋体"/>
        </w:rPr>
      </w:pPr>
      <w:bookmarkStart w:id="49" w:name="_Toc6473"/>
      <w:bookmarkStart w:id="50" w:name="_Toc145343495"/>
      <w:r>
        <w:rPr>
          <w:rFonts w:ascii="宋体" w:hAnsi="宋体" w:hint="eastAsia"/>
        </w:rPr>
        <w:lastRenderedPageBreak/>
        <w:t>7.标准主要内容</w:t>
      </w:r>
      <w:bookmarkEnd w:id="49"/>
      <w:bookmarkEnd w:id="50"/>
    </w:p>
    <w:p w:rsidR="00155EA0" w:rsidRDefault="009549C5">
      <w:pPr>
        <w:pStyle w:val="2"/>
        <w:rPr>
          <w:rFonts w:ascii="宋体" w:hAnsi="宋体"/>
        </w:rPr>
      </w:pPr>
      <w:bookmarkStart w:id="51" w:name="_Toc145343496"/>
      <w:bookmarkStart w:id="52" w:name="_Toc118876368"/>
      <w:bookmarkStart w:id="53" w:name="_Toc2593"/>
      <w:r>
        <w:rPr>
          <w:rFonts w:ascii="宋体" w:hAnsi="宋体" w:hint="eastAsia"/>
        </w:rPr>
        <w:t>7.1</w:t>
      </w:r>
      <w:bookmarkEnd w:id="51"/>
      <w:bookmarkEnd w:id="52"/>
      <w:bookmarkEnd w:id="53"/>
      <w:r>
        <w:rPr>
          <w:rFonts w:ascii="宋体" w:hAnsi="宋体" w:hint="eastAsia"/>
        </w:rPr>
        <w:t>标准研究目的</w:t>
      </w:r>
    </w:p>
    <w:p w:rsidR="00155EA0" w:rsidRDefault="009549C5">
      <w:pPr>
        <w:spacing w:line="560" w:lineRule="exact"/>
        <w:ind w:firstLine="560"/>
        <w:jc w:val="left"/>
        <w:rPr>
          <w:szCs w:val="28"/>
        </w:rPr>
      </w:pPr>
      <w:r>
        <w:rPr>
          <w:rFonts w:hint="eastAsia"/>
          <w:szCs w:val="28"/>
        </w:rPr>
        <w:t>区块链蕴含着巨大的变革潜力，正成为数字经济</w:t>
      </w:r>
      <w:r>
        <w:rPr>
          <w:szCs w:val="28"/>
        </w:rPr>
        <w:t>平台</w:t>
      </w:r>
      <w:r>
        <w:rPr>
          <w:rFonts w:hint="eastAsia"/>
          <w:szCs w:val="28"/>
        </w:rPr>
        <w:t>的重要组成。因此业界往往将通用的区块链技术与金融信息技术中的身份认证、权限管理、隐私保护、反洗钱反欺诈支持、监管审计支持等模块相结合，并通过组建联盟的形式探索联盟链的技术路线。</w:t>
      </w:r>
      <w:bookmarkStart w:id="54" w:name="_Hlk89940092"/>
      <w:r>
        <w:rPr>
          <w:rFonts w:hint="eastAsia"/>
          <w:szCs w:val="28"/>
        </w:rPr>
        <w:t>由于</w:t>
      </w:r>
      <w:r w:rsidR="0052241F">
        <w:rPr>
          <w:rFonts w:hint="eastAsia"/>
          <w:szCs w:val="28"/>
        </w:rPr>
        <w:t>各</w:t>
      </w:r>
      <w:r>
        <w:rPr>
          <w:rFonts w:hint="eastAsia"/>
          <w:szCs w:val="28"/>
        </w:rPr>
        <w:t>行业在区块链</w:t>
      </w:r>
      <w:r>
        <w:rPr>
          <w:szCs w:val="28"/>
        </w:rPr>
        <w:t>平台</w:t>
      </w:r>
      <w:r>
        <w:rPr>
          <w:rFonts w:hint="eastAsia"/>
          <w:szCs w:val="28"/>
        </w:rPr>
        <w:t>选择和使用上</w:t>
      </w:r>
      <w:bookmarkStart w:id="55" w:name="_Hlk89945601"/>
      <w:r>
        <w:rPr>
          <w:rFonts w:hint="eastAsia"/>
          <w:szCs w:val="28"/>
        </w:rPr>
        <w:t>呈现出纷繁复杂的局面，</w:t>
      </w:r>
      <w:bookmarkEnd w:id="55"/>
      <w:r>
        <w:rPr>
          <w:rFonts w:hint="eastAsia"/>
          <w:szCs w:val="28"/>
        </w:rPr>
        <w:t>区块链</w:t>
      </w:r>
      <w:r>
        <w:rPr>
          <w:szCs w:val="28"/>
        </w:rPr>
        <w:t>平台</w:t>
      </w:r>
      <w:r>
        <w:rPr>
          <w:rFonts w:hint="eastAsia"/>
          <w:szCs w:val="28"/>
        </w:rPr>
        <w:t>技术规范的标准化有助于统一认识，规范和指导各机构对区块链</w:t>
      </w:r>
      <w:r>
        <w:rPr>
          <w:szCs w:val="28"/>
        </w:rPr>
        <w:t>平台</w:t>
      </w:r>
      <w:r>
        <w:rPr>
          <w:rFonts w:hint="eastAsia"/>
          <w:szCs w:val="28"/>
        </w:rPr>
        <w:t>的选型、应用。</w:t>
      </w:r>
      <w:bookmarkEnd w:id="54"/>
    </w:p>
    <w:p w:rsidR="00155EA0" w:rsidRDefault="009549C5">
      <w:pPr>
        <w:pStyle w:val="2"/>
        <w:rPr>
          <w:rFonts w:ascii="宋体" w:hAnsi="宋体"/>
        </w:rPr>
      </w:pPr>
      <w:r>
        <w:rPr>
          <w:rFonts w:ascii="宋体" w:hAnsi="宋体" w:hint="eastAsia"/>
        </w:rPr>
        <w:t>7.</w:t>
      </w:r>
      <w:r>
        <w:rPr>
          <w:rFonts w:ascii="宋体" w:hAnsi="宋体"/>
        </w:rPr>
        <w:t>2</w:t>
      </w:r>
      <w:r>
        <w:rPr>
          <w:rFonts w:ascii="宋体" w:hAnsi="宋体" w:hint="eastAsia"/>
        </w:rPr>
        <w:t>适用范围</w:t>
      </w:r>
    </w:p>
    <w:p w:rsidR="00155EA0" w:rsidRDefault="009549C5">
      <w:pPr>
        <w:spacing w:line="560" w:lineRule="exact"/>
        <w:ind w:firstLine="560"/>
        <w:jc w:val="left"/>
        <w:rPr>
          <w:szCs w:val="28"/>
        </w:rPr>
      </w:pPr>
      <w:r>
        <w:rPr>
          <w:noProof/>
          <w:szCs w:val="28"/>
        </w:rPr>
        <w:drawing>
          <wp:anchor distT="0" distB="0" distL="114300" distR="114300" simplePos="0" relativeHeight="251659264" behindDoc="1" locked="0" layoutInCell="1" allowOverlap="1">
            <wp:simplePos x="0" y="0"/>
            <wp:positionH relativeFrom="column">
              <wp:posOffset>1056005</wp:posOffset>
            </wp:positionH>
            <wp:positionV relativeFrom="paragraph">
              <wp:posOffset>1090930</wp:posOffset>
            </wp:positionV>
            <wp:extent cx="3584575" cy="2338070"/>
            <wp:effectExtent l="0" t="0" r="6350" b="5080"/>
            <wp:wrapTopAndBottom/>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3584575" cy="2338070"/>
                    </a:xfrm>
                    <a:prstGeom prst="rect">
                      <a:avLst/>
                    </a:prstGeom>
                    <a:noFill/>
                    <a:ln>
                      <a:noFill/>
                    </a:ln>
                  </pic:spPr>
                </pic:pic>
              </a:graphicData>
            </a:graphic>
          </wp:anchor>
        </w:drawing>
      </w:r>
      <w:r>
        <w:rPr>
          <w:rFonts w:hint="eastAsia"/>
          <w:szCs w:val="28"/>
        </w:rPr>
        <w:t>本文件</w:t>
      </w:r>
      <w:bookmarkStart w:id="56" w:name="_Hlk89934620"/>
      <w:r>
        <w:rPr>
          <w:rFonts w:hint="eastAsia"/>
          <w:szCs w:val="28"/>
        </w:rPr>
        <w:t>规定了区块链</w:t>
      </w:r>
      <w:r>
        <w:rPr>
          <w:szCs w:val="28"/>
        </w:rPr>
        <w:t>平台</w:t>
      </w:r>
      <w:r>
        <w:rPr>
          <w:rFonts w:hint="eastAsia"/>
          <w:szCs w:val="28"/>
        </w:rPr>
        <w:t>的基本功能、性能、安全等规范</w:t>
      </w:r>
      <w:bookmarkEnd w:id="56"/>
      <w:r>
        <w:rPr>
          <w:rFonts w:hint="eastAsia"/>
          <w:szCs w:val="28"/>
        </w:rPr>
        <w:t>，</w:t>
      </w:r>
      <w:r>
        <w:rPr>
          <w:szCs w:val="28"/>
        </w:rPr>
        <w:t>明确了区块链平台的参考规范级。（本标准适用于区块链技术的选型、设计、开发、维护及测试等。）</w:t>
      </w:r>
    </w:p>
    <w:p w:rsidR="00155EA0" w:rsidRDefault="009549C5">
      <w:pPr>
        <w:spacing w:line="240" w:lineRule="auto"/>
        <w:ind w:firstLine="560"/>
        <w:jc w:val="center"/>
        <w:rPr>
          <w:szCs w:val="28"/>
        </w:rPr>
      </w:pPr>
      <w:r>
        <w:rPr>
          <w:rFonts w:hint="eastAsia"/>
          <w:szCs w:val="28"/>
        </w:rPr>
        <w:t>图</w:t>
      </w:r>
      <w:r>
        <w:rPr>
          <w:rFonts w:hint="eastAsia"/>
          <w:szCs w:val="28"/>
        </w:rPr>
        <w:t>1</w:t>
      </w:r>
      <w:r>
        <w:rPr>
          <w:rFonts w:hint="eastAsia"/>
          <w:szCs w:val="28"/>
        </w:rPr>
        <w:t xml:space="preserve">　区块链</w:t>
      </w:r>
      <w:r>
        <w:rPr>
          <w:szCs w:val="28"/>
        </w:rPr>
        <w:t>平台</w:t>
      </w:r>
      <w:r>
        <w:rPr>
          <w:rFonts w:hint="eastAsia"/>
          <w:szCs w:val="28"/>
        </w:rPr>
        <w:t>架构图</w:t>
      </w:r>
    </w:p>
    <w:p w:rsidR="00155EA0" w:rsidRDefault="00155EA0">
      <w:pPr>
        <w:pStyle w:val="afff1"/>
        <w:ind w:firstLineChars="0" w:firstLine="0"/>
        <w:rPr>
          <w:highlight w:val="yellow"/>
        </w:rPr>
      </w:pPr>
    </w:p>
    <w:p w:rsidR="00155EA0" w:rsidRDefault="009549C5">
      <w:pPr>
        <w:pStyle w:val="2"/>
        <w:rPr>
          <w:rFonts w:ascii="宋体" w:hAnsi="宋体"/>
        </w:rPr>
      </w:pPr>
      <w:bookmarkStart w:id="57" w:name="_Toc25568"/>
      <w:bookmarkStart w:id="58" w:name="_Toc145343497"/>
      <w:bookmarkStart w:id="59" w:name="_Toc118876369"/>
      <w:r>
        <w:rPr>
          <w:rFonts w:ascii="宋体" w:hAnsi="宋体" w:hint="eastAsia"/>
        </w:rPr>
        <w:t>7.</w:t>
      </w:r>
      <w:r>
        <w:rPr>
          <w:rFonts w:ascii="宋体" w:hAnsi="宋体"/>
        </w:rPr>
        <w:t>3</w:t>
      </w:r>
      <w:r>
        <w:rPr>
          <w:rFonts w:ascii="宋体" w:hAnsi="宋体" w:hint="eastAsia"/>
        </w:rPr>
        <w:t xml:space="preserve"> 标准</w:t>
      </w:r>
      <w:bookmarkEnd w:id="57"/>
      <w:bookmarkEnd w:id="58"/>
      <w:bookmarkEnd w:id="59"/>
      <w:r>
        <w:rPr>
          <w:rFonts w:ascii="宋体" w:hAnsi="宋体" w:hint="eastAsia"/>
        </w:rPr>
        <w:t>大纲</w:t>
      </w:r>
    </w:p>
    <w:p w:rsidR="00155EA0" w:rsidRDefault="009549C5">
      <w:pPr>
        <w:spacing w:line="560" w:lineRule="exact"/>
        <w:ind w:firstLine="562"/>
        <w:jc w:val="left"/>
        <w:outlineLvl w:val="2"/>
        <w:rPr>
          <w:b/>
          <w:bCs/>
          <w:szCs w:val="28"/>
        </w:rPr>
      </w:pPr>
      <w:bookmarkStart w:id="60" w:name="_Toc26431"/>
      <w:bookmarkStart w:id="61" w:name="_Toc97303449"/>
      <w:bookmarkStart w:id="62" w:name="_Toc145343498"/>
      <w:bookmarkStart w:id="63" w:name="_Toc48846045"/>
      <w:r>
        <w:rPr>
          <w:rFonts w:hint="eastAsia"/>
          <w:b/>
          <w:bCs/>
          <w:szCs w:val="28"/>
        </w:rPr>
        <w:t>7</w:t>
      </w:r>
      <w:r>
        <w:rPr>
          <w:b/>
          <w:bCs/>
          <w:szCs w:val="28"/>
        </w:rPr>
        <w:t>.3.1</w:t>
      </w:r>
      <w:r>
        <w:rPr>
          <w:rFonts w:hint="eastAsia"/>
          <w:b/>
          <w:bCs/>
          <w:szCs w:val="28"/>
        </w:rPr>
        <w:t>区块链</w:t>
      </w:r>
      <w:r>
        <w:rPr>
          <w:b/>
          <w:bCs/>
          <w:szCs w:val="28"/>
        </w:rPr>
        <w:t>平台</w:t>
      </w:r>
      <w:r>
        <w:rPr>
          <w:rFonts w:hint="eastAsia"/>
          <w:b/>
          <w:bCs/>
          <w:szCs w:val="28"/>
        </w:rPr>
        <w:t>基本功能</w:t>
      </w:r>
    </w:p>
    <w:p w:rsidR="00155EA0" w:rsidRDefault="009549C5">
      <w:pPr>
        <w:spacing w:line="560" w:lineRule="exact"/>
        <w:ind w:firstLine="560"/>
        <w:jc w:val="left"/>
        <w:rPr>
          <w:szCs w:val="28"/>
        </w:rPr>
      </w:pPr>
      <w:r>
        <w:rPr>
          <w:rFonts w:hint="eastAsia"/>
          <w:szCs w:val="28"/>
        </w:rPr>
        <w:lastRenderedPageBreak/>
        <w:t>本章规定了</w:t>
      </w:r>
      <w:r w:rsidR="0052241F">
        <w:rPr>
          <w:rFonts w:hint="eastAsia"/>
          <w:szCs w:val="28"/>
        </w:rPr>
        <w:t>各</w:t>
      </w:r>
      <w:r>
        <w:rPr>
          <w:rFonts w:hint="eastAsia"/>
          <w:szCs w:val="28"/>
        </w:rPr>
        <w:t>行业区块链</w:t>
      </w:r>
      <w:r>
        <w:rPr>
          <w:szCs w:val="28"/>
        </w:rPr>
        <w:t>平台</w:t>
      </w:r>
      <w:r>
        <w:rPr>
          <w:rFonts w:hint="eastAsia"/>
          <w:szCs w:val="28"/>
        </w:rPr>
        <w:t>应具备的基本功能，包括基础层、接入层、核心功能层以及用户层的功能点。</w:t>
      </w:r>
      <w:r>
        <w:rPr>
          <w:rFonts w:hint="eastAsia"/>
          <w:szCs w:val="28"/>
        </w:rPr>
        <w:tab/>
      </w:r>
    </w:p>
    <w:p w:rsidR="00155EA0" w:rsidRDefault="009549C5">
      <w:pPr>
        <w:autoSpaceDE w:val="0"/>
        <w:autoSpaceDN w:val="0"/>
        <w:snapToGrid w:val="0"/>
        <w:spacing w:line="560" w:lineRule="exact"/>
        <w:ind w:left="470" w:firstLineChars="0" w:firstLine="0"/>
        <w:jc w:val="left"/>
        <w:rPr>
          <w:szCs w:val="28"/>
        </w:rPr>
      </w:pPr>
      <w:r>
        <w:rPr>
          <w:rFonts w:hint="eastAsia"/>
          <w:szCs w:val="28"/>
        </w:rPr>
        <w:t>（</w:t>
      </w:r>
      <w:r>
        <w:rPr>
          <w:rFonts w:hint="eastAsia"/>
          <w:szCs w:val="28"/>
        </w:rPr>
        <w:t>1</w:t>
      </w:r>
      <w:r>
        <w:rPr>
          <w:rFonts w:hint="eastAsia"/>
          <w:szCs w:val="28"/>
        </w:rPr>
        <w:t>）基础层</w:t>
      </w:r>
      <w:r>
        <w:rPr>
          <w:rFonts w:hint="eastAsia"/>
          <w:szCs w:val="28"/>
        </w:rPr>
        <w:tab/>
      </w:r>
    </w:p>
    <w:p w:rsidR="00155EA0" w:rsidRDefault="009549C5">
      <w:pPr>
        <w:spacing w:line="560" w:lineRule="exact"/>
        <w:ind w:firstLine="560"/>
        <w:jc w:val="left"/>
        <w:rPr>
          <w:szCs w:val="28"/>
        </w:rPr>
      </w:pPr>
      <w:r>
        <w:rPr>
          <w:rFonts w:hint="eastAsia"/>
          <w:szCs w:val="28"/>
        </w:rPr>
        <w:t>本节明确了基础层是区块链底层平台的支撑层，为接入层、核心层、用户层提供运行环境和基础组件，基础层应包含存储、计算、网络三个部分，并明确了三个部分的各项具体功能点，如存储选型应包括但不限于关系型数据库、键值对数据库、文件数据库等。</w:t>
      </w:r>
    </w:p>
    <w:p w:rsidR="00155EA0" w:rsidRDefault="009549C5">
      <w:pPr>
        <w:autoSpaceDE w:val="0"/>
        <w:autoSpaceDN w:val="0"/>
        <w:snapToGrid w:val="0"/>
        <w:spacing w:line="560" w:lineRule="exact"/>
        <w:ind w:left="470" w:firstLineChars="0" w:firstLine="0"/>
        <w:jc w:val="left"/>
        <w:rPr>
          <w:szCs w:val="28"/>
        </w:rPr>
      </w:pPr>
      <w:r>
        <w:rPr>
          <w:rFonts w:hint="eastAsia"/>
          <w:szCs w:val="28"/>
        </w:rPr>
        <w:t>（</w:t>
      </w:r>
      <w:r>
        <w:rPr>
          <w:rFonts w:hint="eastAsia"/>
          <w:szCs w:val="28"/>
        </w:rPr>
        <w:t>2</w:t>
      </w:r>
      <w:r>
        <w:rPr>
          <w:rFonts w:hint="eastAsia"/>
          <w:szCs w:val="28"/>
        </w:rPr>
        <w:t>）基础层</w:t>
      </w:r>
      <w:r>
        <w:rPr>
          <w:rFonts w:hint="eastAsia"/>
          <w:szCs w:val="28"/>
        </w:rPr>
        <w:tab/>
      </w:r>
    </w:p>
    <w:p w:rsidR="00155EA0" w:rsidRDefault="009549C5">
      <w:pPr>
        <w:spacing w:line="560" w:lineRule="exact"/>
        <w:ind w:firstLine="560"/>
        <w:jc w:val="left"/>
        <w:rPr>
          <w:szCs w:val="28"/>
        </w:rPr>
      </w:pPr>
      <w:r>
        <w:rPr>
          <w:rFonts w:hint="eastAsia"/>
          <w:szCs w:val="28"/>
        </w:rPr>
        <w:t>本节明确了基础层是区块链底层平台的支撑层，为接入层、核心层、用户层提供运行环境和基础组件，基础层应包含存储、计算、网络三个部分，并明确了三个部分的各项具体功能点，如存储选型应包括但不限于关系型数据库、键值对数据库、文件数据库等。</w:t>
      </w:r>
    </w:p>
    <w:p w:rsidR="00155EA0" w:rsidRDefault="009549C5">
      <w:pPr>
        <w:spacing w:line="560" w:lineRule="exact"/>
        <w:ind w:firstLine="560"/>
        <w:jc w:val="left"/>
        <w:rPr>
          <w:szCs w:val="28"/>
        </w:rPr>
      </w:pPr>
      <w:r>
        <w:rPr>
          <w:rFonts w:hint="eastAsia"/>
          <w:szCs w:val="28"/>
        </w:rPr>
        <w:t>（</w:t>
      </w:r>
      <w:r>
        <w:rPr>
          <w:szCs w:val="28"/>
        </w:rPr>
        <w:t>3</w:t>
      </w:r>
      <w:r>
        <w:rPr>
          <w:rFonts w:hint="eastAsia"/>
          <w:szCs w:val="28"/>
        </w:rPr>
        <w:t>）接入层</w:t>
      </w:r>
      <w:r>
        <w:rPr>
          <w:rFonts w:hint="eastAsia"/>
          <w:szCs w:val="28"/>
        </w:rPr>
        <w:tab/>
      </w:r>
    </w:p>
    <w:p w:rsidR="00155EA0" w:rsidRDefault="009549C5">
      <w:pPr>
        <w:spacing w:line="560" w:lineRule="exact"/>
        <w:ind w:firstLine="560"/>
        <w:jc w:val="left"/>
        <w:rPr>
          <w:szCs w:val="28"/>
        </w:rPr>
      </w:pPr>
      <w:r>
        <w:rPr>
          <w:rFonts w:hint="eastAsia"/>
          <w:szCs w:val="28"/>
        </w:rPr>
        <w:t>本节明确接入层为外部业务系统和用户层提供高效、可靠、通用的访问，接入层包括对外部业务系统和用户层提供接入服务，主要包括接入管理、节点管理以及账本应用，并明确了该三个部分的各项具体功能点。</w:t>
      </w:r>
    </w:p>
    <w:p w:rsidR="00155EA0" w:rsidRDefault="009549C5">
      <w:pPr>
        <w:spacing w:line="560" w:lineRule="exact"/>
        <w:ind w:firstLine="560"/>
        <w:jc w:val="left"/>
        <w:rPr>
          <w:szCs w:val="28"/>
        </w:rPr>
      </w:pPr>
      <w:r>
        <w:rPr>
          <w:rFonts w:hint="eastAsia"/>
          <w:szCs w:val="28"/>
        </w:rPr>
        <w:t>（</w:t>
      </w:r>
      <w:r>
        <w:rPr>
          <w:szCs w:val="28"/>
        </w:rPr>
        <w:t>4</w:t>
      </w:r>
      <w:r>
        <w:rPr>
          <w:rFonts w:hint="eastAsia"/>
          <w:szCs w:val="28"/>
        </w:rPr>
        <w:t>）核心层</w:t>
      </w:r>
      <w:r>
        <w:rPr>
          <w:rFonts w:hint="eastAsia"/>
          <w:szCs w:val="28"/>
        </w:rPr>
        <w:tab/>
      </w:r>
    </w:p>
    <w:p w:rsidR="00155EA0" w:rsidRDefault="009549C5">
      <w:pPr>
        <w:spacing w:line="560" w:lineRule="exact"/>
        <w:ind w:firstLine="560"/>
        <w:jc w:val="left"/>
        <w:rPr>
          <w:szCs w:val="28"/>
        </w:rPr>
      </w:pPr>
      <w:r>
        <w:rPr>
          <w:rFonts w:hint="eastAsia"/>
          <w:szCs w:val="28"/>
        </w:rPr>
        <w:t>核心层是区块链</w:t>
      </w:r>
      <w:r>
        <w:rPr>
          <w:szCs w:val="28"/>
        </w:rPr>
        <w:t>平台</w:t>
      </w:r>
      <w:r>
        <w:rPr>
          <w:rFonts w:hint="eastAsia"/>
          <w:szCs w:val="28"/>
        </w:rPr>
        <w:t>的核心功能层，基于基础层为区块链</w:t>
      </w:r>
      <w:r>
        <w:rPr>
          <w:szCs w:val="28"/>
        </w:rPr>
        <w:t>平台</w:t>
      </w:r>
      <w:r>
        <w:rPr>
          <w:rFonts w:hint="eastAsia"/>
          <w:szCs w:val="28"/>
        </w:rPr>
        <w:t>提供支撑，并为接入层提供相关的支持。包括共识机制、加密、摘要、数字签名、隐私保护、智能合约等。本节明确区块链</w:t>
      </w:r>
      <w:r>
        <w:rPr>
          <w:szCs w:val="28"/>
        </w:rPr>
        <w:t>平台</w:t>
      </w:r>
      <w:r>
        <w:rPr>
          <w:rFonts w:hint="eastAsia"/>
          <w:szCs w:val="28"/>
        </w:rPr>
        <w:t>核心功能层及相关模块的功能。</w:t>
      </w:r>
    </w:p>
    <w:p w:rsidR="00155EA0" w:rsidRDefault="009549C5">
      <w:pPr>
        <w:spacing w:line="560" w:lineRule="exact"/>
        <w:ind w:firstLine="560"/>
        <w:jc w:val="left"/>
        <w:rPr>
          <w:szCs w:val="28"/>
        </w:rPr>
      </w:pPr>
      <w:r>
        <w:rPr>
          <w:rFonts w:hint="eastAsia"/>
          <w:szCs w:val="28"/>
        </w:rPr>
        <w:lastRenderedPageBreak/>
        <w:t>（</w:t>
      </w:r>
      <w:r>
        <w:rPr>
          <w:szCs w:val="28"/>
        </w:rPr>
        <w:t>5</w:t>
      </w:r>
      <w:r>
        <w:rPr>
          <w:rFonts w:hint="eastAsia"/>
          <w:szCs w:val="28"/>
        </w:rPr>
        <w:t>）用户层</w:t>
      </w:r>
      <w:r>
        <w:rPr>
          <w:rFonts w:hint="eastAsia"/>
          <w:szCs w:val="28"/>
        </w:rPr>
        <w:tab/>
      </w:r>
    </w:p>
    <w:p w:rsidR="00155EA0" w:rsidRDefault="009549C5">
      <w:pPr>
        <w:spacing w:line="560" w:lineRule="exact"/>
        <w:ind w:firstLine="560"/>
        <w:jc w:val="left"/>
        <w:rPr>
          <w:szCs w:val="28"/>
        </w:rPr>
      </w:pPr>
      <w:r>
        <w:rPr>
          <w:rFonts w:hint="eastAsia"/>
          <w:szCs w:val="28"/>
        </w:rPr>
        <w:t>本节明确用户层作为区块链</w:t>
      </w:r>
      <w:r>
        <w:rPr>
          <w:szCs w:val="28"/>
        </w:rPr>
        <w:t>平台</w:t>
      </w:r>
      <w:r>
        <w:rPr>
          <w:rFonts w:hint="eastAsia"/>
          <w:szCs w:val="28"/>
        </w:rPr>
        <w:t>和使用方的接口，提供基础资源管理、链的管理、智能合约管理，以及监控和告警等功能。用户层主要包括用户功能和管理功能。</w:t>
      </w:r>
    </w:p>
    <w:p w:rsidR="00155EA0" w:rsidRDefault="009549C5">
      <w:pPr>
        <w:spacing w:line="560" w:lineRule="exact"/>
        <w:ind w:firstLine="562"/>
        <w:jc w:val="left"/>
        <w:outlineLvl w:val="2"/>
        <w:rPr>
          <w:b/>
          <w:bCs/>
          <w:szCs w:val="28"/>
        </w:rPr>
      </w:pPr>
      <w:r>
        <w:rPr>
          <w:rFonts w:hint="eastAsia"/>
          <w:b/>
          <w:bCs/>
          <w:szCs w:val="28"/>
        </w:rPr>
        <w:t>7</w:t>
      </w:r>
      <w:r>
        <w:rPr>
          <w:b/>
          <w:bCs/>
          <w:szCs w:val="28"/>
        </w:rPr>
        <w:t>.3.2</w:t>
      </w:r>
      <w:r>
        <w:rPr>
          <w:rFonts w:hint="eastAsia"/>
          <w:b/>
          <w:bCs/>
          <w:szCs w:val="28"/>
        </w:rPr>
        <w:t>区块链</w:t>
      </w:r>
      <w:r>
        <w:rPr>
          <w:b/>
          <w:bCs/>
          <w:szCs w:val="28"/>
        </w:rPr>
        <w:t>平台</w:t>
      </w:r>
      <w:r>
        <w:rPr>
          <w:rFonts w:hint="eastAsia"/>
          <w:b/>
          <w:bCs/>
          <w:szCs w:val="28"/>
        </w:rPr>
        <w:t>基本要求</w:t>
      </w:r>
      <w:r>
        <w:rPr>
          <w:rFonts w:hint="eastAsia"/>
          <w:b/>
          <w:bCs/>
          <w:szCs w:val="28"/>
        </w:rPr>
        <w:tab/>
      </w:r>
    </w:p>
    <w:p w:rsidR="00155EA0" w:rsidRDefault="009549C5">
      <w:pPr>
        <w:spacing w:line="560" w:lineRule="exact"/>
        <w:ind w:firstLine="560"/>
        <w:jc w:val="left"/>
        <w:rPr>
          <w:szCs w:val="28"/>
        </w:rPr>
      </w:pPr>
      <w:r>
        <w:rPr>
          <w:rFonts w:hint="eastAsia"/>
          <w:szCs w:val="28"/>
        </w:rPr>
        <w:t>本章规定区块链</w:t>
      </w:r>
      <w:r>
        <w:rPr>
          <w:szCs w:val="28"/>
        </w:rPr>
        <w:t>平台</w:t>
      </w:r>
      <w:r>
        <w:rPr>
          <w:rFonts w:hint="eastAsia"/>
          <w:szCs w:val="28"/>
        </w:rPr>
        <w:t>应满足一定的基本要求，主要包括性能要求、可扩展性要求、易用性要求和可靠性要求。</w:t>
      </w:r>
    </w:p>
    <w:p w:rsidR="00155EA0" w:rsidRDefault="009549C5">
      <w:pPr>
        <w:spacing w:line="560" w:lineRule="exact"/>
        <w:ind w:firstLine="560"/>
        <w:jc w:val="left"/>
        <w:rPr>
          <w:szCs w:val="28"/>
        </w:rPr>
      </w:pPr>
      <w:r>
        <w:rPr>
          <w:rFonts w:hint="eastAsia"/>
          <w:szCs w:val="28"/>
        </w:rPr>
        <w:t>（</w:t>
      </w:r>
      <w:r>
        <w:rPr>
          <w:rFonts w:hint="eastAsia"/>
          <w:szCs w:val="28"/>
        </w:rPr>
        <w:t>1</w:t>
      </w:r>
      <w:r>
        <w:rPr>
          <w:rFonts w:hint="eastAsia"/>
          <w:szCs w:val="28"/>
        </w:rPr>
        <w:t>）性能要求</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应满足一定的性能要求，包括吞吐率、共识速度等。</w:t>
      </w:r>
    </w:p>
    <w:p w:rsidR="00155EA0" w:rsidRDefault="009549C5">
      <w:pPr>
        <w:spacing w:line="560" w:lineRule="exact"/>
        <w:ind w:firstLine="560"/>
        <w:jc w:val="left"/>
        <w:rPr>
          <w:szCs w:val="28"/>
        </w:rPr>
      </w:pPr>
      <w:r>
        <w:rPr>
          <w:rFonts w:hint="eastAsia"/>
          <w:szCs w:val="28"/>
        </w:rPr>
        <w:t>（</w:t>
      </w:r>
      <w:r>
        <w:rPr>
          <w:rFonts w:hint="eastAsia"/>
          <w:szCs w:val="28"/>
        </w:rPr>
        <w:t>2</w:t>
      </w:r>
      <w:r>
        <w:rPr>
          <w:rFonts w:hint="eastAsia"/>
          <w:szCs w:val="28"/>
        </w:rPr>
        <w:t>）可扩展性</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适应变化的能力及相关跨链要求。</w:t>
      </w:r>
    </w:p>
    <w:p w:rsidR="00155EA0" w:rsidRDefault="009549C5">
      <w:pPr>
        <w:spacing w:line="560" w:lineRule="exact"/>
        <w:ind w:firstLine="560"/>
        <w:jc w:val="left"/>
        <w:rPr>
          <w:szCs w:val="28"/>
        </w:rPr>
      </w:pPr>
      <w:r>
        <w:rPr>
          <w:rFonts w:hint="eastAsia"/>
          <w:szCs w:val="28"/>
        </w:rPr>
        <w:t>（</w:t>
      </w:r>
      <w:r>
        <w:rPr>
          <w:rFonts w:hint="eastAsia"/>
          <w:szCs w:val="28"/>
        </w:rPr>
        <w:t>3</w:t>
      </w:r>
      <w:r>
        <w:rPr>
          <w:rFonts w:hint="eastAsia"/>
          <w:szCs w:val="28"/>
        </w:rPr>
        <w:t>）易用性</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应具备良好的易用性，包含节点部署效率、一键式部署脚本、智能合约自动化部署及可视化监管等要求。</w:t>
      </w:r>
    </w:p>
    <w:p w:rsidR="00155EA0" w:rsidRDefault="009549C5">
      <w:pPr>
        <w:spacing w:line="560" w:lineRule="exact"/>
        <w:ind w:firstLine="560"/>
        <w:jc w:val="left"/>
        <w:rPr>
          <w:szCs w:val="28"/>
        </w:rPr>
      </w:pPr>
      <w:r>
        <w:rPr>
          <w:rFonts w:hint="eastAsia"/>
          <w:szCs w:val="28"/>
        </w:rPr>
        <w:t>（</w:t>
      </w:r>
      <w:r>
        <w:rPr>
          <w:rFonts w:hint="eastAsia"/>
          <w:szCs w:val="28"/>
        </w:rPr>
        <w:t>4</w:t>
      </w:r>
      <w:r>
        <w:rPr>
          <w:rFonts w:hint="eastAsia"/>
          <w:szCs w:val="28"/>
        </w:rPr>
        <w:t>）可靠性</w:t>
      </w:r>
      <w:r>
        <w:rPr>
          <w:rFonts w:hint="eastAsia"/>
          <w:szCs w:val="28"/>
        </w:rPr>
        <w:tab/>
      </w:r>
    </w:p>
    <w:p w:rsidR="00155EA0" w:rsidRDefault="009549C5">
      <w:pPr>
        <w:spacing w:line="560" w:lineRule="exact"/>
        <w:ind w:firstLine="560"/>
        <w:jc w:val="left"/>
        <w:rPr>
          <w:szCs w:val="28"/>
        </w:rPr>
      </w:pPr>
      <w:r>
        <w:rPr>
          <w:rFonts w:hint="eastAsia"/>
          <w:szCs w:val="28"/>
        </w:rPr>
        <w:t>本节规定在规定时间和工况下区块链</w:t>
      </w:r>
      <w:r>
        <w:rPr>
          <w:szCs w:val="28"/>
        </w:rPr>
        <w:t>平台</w:t>
      </w:r>
      <w:r>
        <w:rPr>
          <w:rFonts w:hint="eastAsia"/>
          <w:szCs w:val="28"/>
        </w:rPr>
        <w:t>应完成规定功能的能力。</w:t>
      </w:r>
    </w:p>
    <w:p w:rsidR="00155EA0" w:rsidRDefault="009549C5">
      <w:pPr>
        <w:spacing w:line="560" w:lineRule="exact"/>
        <w:ind w:firstLine="562"/>
        <w:jc w:val="left"/>
        <w:outlineLvl w:val="2"/>
        <w:rPr>
          <w:b/>
          <w:bCs/>
          <w:szCs w:val="28"/>
        </w:rPr>
      </w:pPr>
      <w:r>
        <w:rPr>
          <w:rFonts w:hint="eastAsia"/>
          <w:b/>
          <w:bCs/>
          <w:szCs w:val="28"/>
        </w:rPr>
        <w:t>7</w:t>
      </w:r>
      <w:r>
        <w:rPr>
          <w:b/>
          <w:bCs/>
          <w:szCs w:val="28"/>
        </w:rPr>
        <w:t>.3.3</w:t>
      </w:r>
      <w:r>
        <w:rPr>
          <w:rFonts w:hint="eastAsia"/>
          <w:b/>
          <w:bCs/>
          <w:szCs w:val="28"/>
        </w:rPr>
        <w:t>区块链</w:t>
      </w:r>
      <w:r>
        <w:rPr>
          <w:b/>
          <w:bCs/>
          <w:szCs w:val="28"/>
        </w:rPr>
        <w:t>平台</w:t>
      </w:r>
      <w:r>
        <w:rPr>
          <w:rFonts w:hint="eastAsia"/>
          <w:b/>
          <w:bCs/>
          <w:szCs w:val="28"/>
        </w:rPr>
        <w:t>安全要求</w:t>
      </w:r>
    </w:p>
    <w:p w:rsidR="00155EA0" w:rsidRDefault="009549C5">
      <w:pPr>
        <w:spacing w:line="560" w:lineRule="exact"/>
        <w:ind w:firstLine="560"/>
        <w:jc w:val="left"/>
        <w:rPr>
          <w:szCs w:val="28"/>
        </w:rPr>
      </w:pPr>
      <w:r>
        <w:rPr>
          <w:rFonts w:hint="eastAsia"/>
          <w:szCs w:val="28"/>
        </w:rPr>
        <w:t>本章规定区块链</w:t>
      </w:r>
      <w:r>
        <w:rPr>
          <w:szCs w:val="28"/>
        </w:rPr>
        <w:t>平台</w:t>
      </w:r>
      <w:r>
        <w:rPr>
          <w:rFonts w:hint="eastAsia"/>
          <w:szCs w:val="28"/>
        </w:rPr>
        <w:t>相关安全要求主要包括基础环境、硬件、软件、通信、账本数据、共识协议。</w:t>
      </w:r>
    </w:p>
    <w:p w:rsidR="00155EA0" w:rsidRDefault="009549C5">
      <w:pPr>
        <w:spacing w:line="560" w:lineRule="exact"/>
        <w:ind w:firstLine="560"/>
        <w:jc w:val="left"/>
        <w:rPr>
          <w:szCs w:val="28"/>
        </w:rPr>
      </w:pPr>
      <w:r>
        <w:rPr>
          <w:rFonts w:hint="eastAsia"/>
          <w:szCs w:val="28"/>
        </w:rPr>
        <w:t>（</w:t>
      </w:r>
      <w:r>
        <w:rPr>
          <w:rFonts w:hint="eastAsia"/>
          <w:szCs w:val="28"/>
        </w:rPr>
        <w:t>1</w:t>
      </w:r>
      <w:r>
        <w:rPr>
          <w:rFonts w:hint="eastAsia"/>
          <w:szCs w:val="28"/>
        </w:rPr>
        <w:t>）基础环境安全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基础环境应满足</w:t>
      </w:r>
      <w:r>
        <w:rPr>
          <w:rFonts w:hint="eastAsia"/>
          <w:szCs w:val="28"/>
        </w:rPr>
        <w:t>GB/T 22239-2019</w:t>
      </w:r>
      <w:r>
        <w:rPr>
          <w:rFonts w:hint="eastAsia"/>
          <w:szCs w:val="28"/>
        </w:rPr>
        <w:t>中三级以上的安全物理环境要求。</w:t>
      </w:r>
    </w:p>
    <w:p w:rsidR="00155EA0" w:rsidRDefault="009549C5">
      <w:pPr>
        <w:spacing w:line="560" w:lineRule="exact"/>
        <w:ind w:firstLine="560"/>
        <w:jc w:val="left"/>
        <w:rPr>
          <w:szCs w:val="28"/>
        </w:rPr>
      </w:pPr>
      <w:r>
        <w:rPr>
          <w:rFonts w:hint="eastAsia"/>
          <w:szCs w:val="28"/>
        </w:rPr>
        <w:lastRenderedPageBreak/>
        <w:t>（</w:t>
      </w:r>
      <w:r>
        <w:rPr>
          <w:rFonts w:hint="eastAsia"/>
          <w:szCs w:val="28"/>
        </w:rPr>
        <w:t>2</w:t>
      </w:r>
      <w:r>
        <w:rPr>
          <w:rFonts w:hint="eastAsia"/>
          <w:szCs w:val="28"/>
        </w:rPr>
        <w:t>）硬件安全</w:t>
      </w:r>
      <w:r>
        <w:rPr>
          <w:rFonts w:hint="eastAsia"/>
          <w:szCs w:val="28"/>
        </w:rPr>
        <w:tab/>
      </w:r>
    </w:p>
    <w:p w:rsidR="00155EA0" w:rsidRDefault="009549C5">
      <w:pPr>
        <w:spacing w:line="560" w:lineRule="exact"/>
        <w:ind w:firstLine="560"/>
        <w:jc w:val="left"/>
        <w:rPr>
          <w:szCs w:val="28"/>
        </w:rPr>
      </w:pPr>
      <w:r>
        <w:rPr>
          <w:rFonts w:hint="eastAsia"/>
          <w:szCs w:val="28"/>
        </w:rPr>
        <w:t>本节规定硬件安全指区块链</w:t>
      </w:r>
      <w:r>
        <w:rPr>
          <w:szCs w:val="28"/>
        </w:rPr>
        <w:t>平台</w:t>
      </w:r>
      <w:r>
        <w:rPr>
          <w:rFonts w:hint="eastAsia"/>
          <w:szCs w:val="28"/>
        </w:rPr>
        <w:t>底层硬件安全应满足</w:t>
      </w:r>
      <w:r>
        <w:rPr>
          <w:rFonts w:hint="eastAsia"/>
          <w:szCs w:val="28"/>
        </w:rPr>
        <w:t>JR/T 0184-2020</w:t>
      </w:r>
      <w:r>
        <w:rPr>
          <w:rFonts w:hint="eastAsia"/>
          <w:szCs w:val="28"/>
        </w:rPr>
        <w:t>中对硬件安全的基本要求并其他等功能。</w:t>
      </w:r>
    </w:p>
    <w:p w:rsidR="00155EA0" w:rsidRDefault="009549C5">
      <w:pPr>
        <w:spacing w:line="560" w:lineRule="exact"/>
        <w:ind w:firstLine="560"/>
        <w:jc w:val="left"/>
        <w:rPr>
          <w:szCs w:val="28"/>
        </w:rPr>
      </w:pPr>
      <w:r>
        <w:rPr>
          <w:rFonts w:hint="eastAsia"/>
          <w:szCs w:val="28"/>
        </w:rPr>
        <w:t>（</w:t>
      </w:r>
      <w:r>
        <w:rPr>
          <w:rFonts w:hint="eastAsia"/>
          <w:szCs w:val="28"/>
        </w:rPr>
        <w:t>3</w:t>
      </w:r>
      <w:r>
        <w:rPr>
          <w:rFonts w:hint="eastAsia"/>
          <w:szCs w:val="28"/>
        </w:rPr>
        <w:t>）软件安全</w:t>
      </w:r>
      <w:r>
        <w:rPr>
          <w:rFonts w:hint="eastAsia"/>
          <w:szCs w:val="28"/>
        </w:rPr>
        <w:tab/>
      </w:r>
    </w:p>
    <w:p w:rsidR="00155EA0" w:rsidRDefault="009549C5">
      <w:pPr>
        <w:spacing w:line="560" w:lineRule="exact"/>
        <w:ind w:firstLine="560"/>
        <w:jc w:val="left"/>
        <w:rPr>
          <w:szCs w:val="28"/>
        </w:rPr>
      </w:pPr>
      <w:r>
        <w:rPr>
          <w:rFonts w:hint="eastAsia"/>
          <w:szCs w:val="28"/>
        </w:rPr>
        <w:t>本节规定基本软件环境应遵循</w:t>
      </w:r>
      <w:r>
        <w:rPr>
          <w:rFonts w:hint="eastAsia"/>
          <w:szCs w:val="28"/>
        </w:rPr>
        <w:t>GB/T 22239-2019</w:t>
      </w:r>
      <w:r>
        <w:rPr>
          <w:rFonts w:hint="eastAsia"/>
          <w:szCs w:val="28"/>
        </w:rPr>
        <w:t>中三级以上的主机安全、应用安全、数据安全及备份恢复相关要求，还应包括账本结构、共识模块、分布式组网、数据存储、智能合约、接口设计、数据传输、时间同步和操作系统等方面的要求。</w:t>
      </w:r>
    </w:p>
    <w:p w:rsidR="00155EA0" w:rsidRDefault="009549C5">
      <w:pPr>
        <w:spacing w:line="560" w:lineRule="exact"/>
        <w:ind w:firstLine="560"/>
        <w:jc w:val="left"/>
        <w:rPr>
          <w:szCs w:val="28"/>
        </w:rPr>
      </w:pPr>
      <w:r>
        <w:rPr>
          <w:rFonts w:hint="eastAsia"/>
          <w:szCs w:val="28"/>
        </w:rPr>
        <w:t>（</w:t>
      </w:r>
      <w:r>
        <w:rPr>
          <w:rFonts w:hint="eastAsia"/>
          <w:szCs w:val="28"/>
        </w:rPr>
        <w:t>4</w:t>
      </w:r>
      <w:r>
        <w:rPr>
          <w:rFonts w:hint="eastAsia"/>
          <w:szCs w:val="28"/>
        </w:rPr>
        <w:t>）通信安全</w:t>
      </w:r>
      <w:r>
        <w:rPr>
          <w:rFonts w:hint="eastAsia"/>
          <w:szCs w:val="28"/>
        </w:rPr>
        <w:tab/>
      </w:r>
    </w:p>
    <w:p w:rsidR="00155EA0" w:rsidRDefault="009549C5">
      <w:pPr>
        <w:spacing w:line="560" w:lineRule="exact"/>
        <w:ind w:firstLine="560"/>
        <w:jc w:val="left"/>
        <w:rPr>
          <w:szCs w:val="28"/>
        </w:rPr>
      </w:pPr>
      <w:r>
        <w:rPr>
          <w:rFonts w:hint="eastAsia"/>
          <w:szCs w:val="28"/>
        </w:rPr>
        <w:t>本节规定融区块链</w:t>
      </w:r>
      <w:r>
        <w:rPr>
          <w:szCs w:val="28"/>
        </w:rPr>
        <w:t>平台</w:t>
      </w:r>
      <w:r>
        <w:rPr>
          <w:rFonts w:hint="eastAsia"/>
          <w:szCs w:val="28"/>
        </w:rPr>
        <w:t>保证通信的完整性及通信过程保密性。</w:t>
      </w:r>
    </w:p>
    <w:p w:rsidR="00155EA0" w:rsidRDefault="009549C5">
      <w:pPr>
        <w:spacing w:line="560" w:lineRule="exact"/>
        <w:ind w:firstLine="560"/>
        <w:jc w:val="left"/>
        <w:rPr>
          <w:szCs w:val="28"/>
        </w:rPr>
      </w:pPr>
      <w:r>
        <w:rPr>
          <w:rFonts w:hint="eastAsia"/>
          <w:szCs w:val="28"/>
        </w:rPr>
        <w:t>（</w:t>
      </w:r>
      <w:r>
        <w:rPr>
          <w:rFonts w:hint="eastAsia"/>
          <w:szCs w:val="28"/>
        </w:rPr>
        <w:t>5</w:t>
      </w:r>
      <w:r>
        <w:rPr>
          <w:rFonts w:hint="eastAsia"/>
          <w:szCs w:val="28"/>
        </w:rPr>
        <w:t>）账本数据安全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保证相关数据在采集、存储、使用过程中的安全，应满足</w:t>
      </w:r>
      <w:r>
        <w:rPr>
          <w:rFonts w:hint="eastAsia"/>
          <w:szCs w:val="28"/>
        </w:rPr>
        <w:t>JR/T 0184</w:t>
      </w:r>
      <w:r>
        <w:rPr>
          <w:rFonts w:hint="eastAsia"/>
          <w:szCs w:val="28"/>
        </w:rPr>
        <w:t>—</w:t>
      </w:r>
      <w:r>
        <w:rPr>
          <w:rFonts w:hint="eastAsia"/>
          <w:szCs w:val="28"/>
        </w:rPr>
        <w:t>2020</w:t>
      </w:r>
      <w:r>
        <w:rPr>
          <w:rFonts w:hint="eastAsia"/>
          <w:szCs w:val="28"/>
        </w:rPr>
        <w:t>对账本数据的要求，并具备其他等功能</w:t>
      </w:r>
    </w:p>
    <w:p w:rsidR="00155EA0" w:rsidRDefault="009549C5">
      <w:pPr>
        <w:spacing w:line="560" w:lineRule="exact"/>
        <w:ind w:firstLine="560"/>
        <w:jc w:val="left"/>
        <w:rPr>
          <w:szCs w:val="28"/>
        </w:rPr>
      </w:pPr>
      <w:r>
        <w:rPr>
          <w:rFonts w:hint="eastAsia"/>
          <w:szCs w:val="28"/>
        </w:rPr>
        <w:t>（</w:t>
      </w:r>
      <w:r>
        <w:rPr>
          <w:rFonts w:hint="eastAsia"/>
          <w:szCs w:val="28"/>
        </w:rPr>
        <w:t>6</w:t>
      </w:r>
      <w:r>
        <w:rPr>
          <w:rFonts w:hint="eastAsia"/>
          <w:szCs w:val="28"/>
        </w:rPr>
        <w:t>）共识协议安全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根据业务特点选用适宜的共识协议，包括但不限于工作量证明、权益证明、授权股份证明、拜占庭容错等，应满足不同共识协议安全运行所必备的前提要求，且业务激励规则和技术运维安全上的机制设计应保障其自身安全。</w:t>
      </w:r>
      <w:r>
        <w:rPr>
          <w:rFonts w:hint="eastAsia"/>
          <w:szCs w:val="28"/>
        </w:rPr>
        <w:t xml:space="preserve"> </w:t>
      </w:r>
    </w:p>
    <w:p w:rsidR="00155EA0" w:rsidRDefault="009549C5">
      <w:pPr>
        <w:spacing w:line="560" w:lineRule="exact"/>
        <w:ind w:firstLine="560"/>
        <w:jc w:val="left"/>
        <w:rPr>
          <w:szCs w:val="28"/>
        </w:rPr>
      </w:pPr>
      <w:r>
        <w:rPr>
          <w:rFonts w:hint="eastAsia"/>
          <w:szCs w:val="28"/>
        </w:rPr>
        <w:t>（</w:t>
      </w:r>
      <w:r>
        <w:rPr>
          <w:rFonts w:hint="eastAsia"/>
          <w:szCs w:val="28"/>
        </w:rPr>
        <w:t>7</w:t>
      </w:r>
      <w:r>
        <w:rPr>
          <w:rFonts w:hint="eastAsia"/>
          <w:szCs w:val="28"/>
        </w:rPr>
        <w:t>）智能合约安全</w:t>
      </w:r>
      <w:r>
        <w:rPr>
          <w:rFonts w:hint="eastAsia"/>
          <w:szCs w:val="28"/>
        </w:rPr>
        <w:tab/>
      </w:r>
    </w:p>
    <w:p w:rsidR="00155EA0" w:rsidRDefault="009549C5">
      <w:pPr>
        <w:spacing w:line="560" w:lineRule="exact"/>
        <w:ind w:firstLine="560"/>
        <w:jc w:val="left"/>
        <w:rPr>
          <w:szCs w:val="28"/>
        </w:rPr>
      </w:pPr>
      <w:r>
        <w:rPr>
          <w:rFonts w:hint="eastAsia"/>
          <w:szCs w:val="28"/>
        </w:rPr>
        <w:t>本节规定智能合约安全指智能合约代码漏洞以及执行过程中的安全，应满足</w:t>
      </w:r>
      <w:r>
        <w:rPr>
          <w:rFonts w:hint="eastAsia"/>
          <w:szCs w:val="28"/>
        </w:rPr>
        <w:t>JR/T 0184</w:t>
      </w:r>
      <w:r>
        <w:rPr>
          <w:rFonts w:hint="eastAsia"/>
          <w:szCs w:val="28"/>
        </w:rPr>
        <w:t>—</w:t>
      </w:r>
      <w:r>
        <w:rPr>
          <w:rFonts w:hint="eastAsia"/>
          <w:szCs w:val="28"/>
        </w:rPr>
        <w:t>2020</w:t>
      </w:r>
      <w:r>
        <w:rPr>
          <w:rFonts w:hint="eastAsia"/>
          <w:szCs w:val="28"/>
        </w:rPr>
        <w:t>对智能合约的基本要求。</w:t>
      </w:r>
    </w:p>
    <w:p w:rsidR="00155EA0" w:rsidRDefault="009549C5">
      <w:pPr>
        <w:spacing w:line="560" w:lineRule="exact"/>
        <w:ind w:firstLine="560"/>
        <w:jc w:val="left"/>
        <w:rPr>
          <w:szCs w:val="28"/>
        </w:rPr>
      </w:pPr>
      <w:r>
        <w:rPr>
          <w:rFonts w:hint="eastAsia"/>
          <w:szCs w:val="28"/>
        </w:rPr>
        <w:t>（</w:t>
      </w:r>
      <w:r>
        <w:rPr>
          <w:rFonts w:hint="eastAsia"/>
          <w:szCs w:val="28"/>
        </w:rPr>
        <w:t>8</w:t>
      </w:r>
      <w:r>
        <w:rPr>
          <w:rFonts w:hint="eastAsia"/>
          <w:szCs w:val="28"/>
        </w:rPr>
        <w:t>）密码算法</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中的密码算法主要用于数据安全，即保护</w:t>
      </w:r>
      <w:r>
        <w:rPr>
          <w:rFonts w:hint="eastAsia"/>
          <w:szCs w:val="28"/>
        </w:rPr>
        <w:lastRenderedPageBreak/>
        <w:t>数据的保密性、完整性、真实性和不可否认性，包括分组密码算法、流密码算法、非对称密码算法、秘钥交换算法、密码摘要算法和标识密码算法等。区块链</w:t>
      </w:r>
      <w:r>
        <w:rPr>
          <w:szCs w:val="28"/>
        </w:rPr>
        <w:t>平台</w:t>
      </w:r>
      <w:r>
        <w:rPr>
          <w:rFonts w:hint="eastAsia"/>
          <w:szCs w:val="28"/>
        </w:rPr>
        <w:t>中所使用的具体密码算法应符合</w:t>
      </w:r>
      <w:r>
        <w:rPr>
          <w:rFonts w:hint="eastAsia"/>
          <w:szCs w:val="28"/>
        </w:rPr>
        <w:t>GB/T 35273-2020</w:t>
      </w:r>
      <w:r>
        <w:rPr>
          <w:rFonts w:hint="eastAsia"/>
          <w:szCs w:val="28"/>
        </w:rPr>
        <w:t>等相关国家标准以及</w:t>
      </w:r>
      <w:r>
        <w:rPr>
          <w:rFonts w:hint="eastAsia"/>
          <w:szCs w:val="28"/>
        </w:rPr>
        <w:t>JR/T 0184</w:t>
      </w:r>
      <w:r>
        <w:rPr>
          <w:rFonts w:hint="eastAsia"/>
          <w:szCs w:val="28"/>
        </w:rPr>
        <w:t>—</w:t>
      </w:r>
      <w:r>
        <w:rPr>
          <w:rFonts w:hint="eastAsia"/>
          <w:szCs w:val="28"/>
        </w:rPr>
        <w:t>2020</w:t>
      </w:r>
      <w:r>
        <w:rPr>
          <w:rFonts w:hint="eastAsia"/>
          <w:szCs w:val="28"/>
        </w:rPr>
        <w:t>等相关行业标准。</w:t>
      </w:r>
    </w:p>
    <w:p w:rsidR="00155EA0" w:rsidRDefault="009549C5">
      <w:pPr>
        <w:spacing w:line="560" w:lineRule="exact"/>
        <w:ind w:firstLine="560"/>
        <w:jc w:val="left"/>
        <w:rPr>
          <w:szCs w:val="28"/>
        </w:rPr>
      </w:pPr>
      <w:r>
        <w:rPr>
          <w:rFonts w:hint="eastAsia"/>
          <w:szCs w:val="28"/>
        </w:rPr>
        <w:t>（</w:t>
      </w:r>
      <w:r>
        <w:rPr>
          <w:rFonts w:hint="eastAsia"/>
          <w:szCs w:val="28"/>
        </w:rPr>
        <w:t>9</w:t>
      </w:r>
      <w:r>
        <w:rPr>
          <w:rFonts w:hint="eastAsia"/>
          <w:szCs w:val="28"/>
        </w:rPr>
        <w:t>）身份管理安全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应实现有效的用户身份管理，主要功能包括身份注册、身份核实、账户管理、凭证生命周期管理、身份鉴别、节点标识管理、身份更新和撤销等。同时，应保障身份信息的安全性，并对身份进行监管审计。应满足</w:t>
      </w:r>
      <w:r>
        <w:rPr>
          <w:rFonts w:hint="eastAsia"/>
          <w:szCs w:val="28"/>
        </w:rPr>
        <w:t>JR/T 0184</w:t>
      </w:r>
      <w:r>
        <w:rPr>
          <w:rFonts w:hint="eastAsia"/>
          <w:szCs w:val="28"/>
        </w:rPr>
        <w:t>—</w:t>
      </w:r>
      <w:r>
        <w:rPr>
          <w:rFonts w:hint="eastAsia"/>
          <w:szCs w:val="28"/>
        </w:rPr>
        <w:t>2020</w:t>
      </w:r>
      <w:r>
        <w:rPr>
          <w:rFonts w:hint="eastAsia"/>
          <w:szCs w:val="28"/>
        </w:rPr>
        <w:t>和</w:t>
      </w:r>
      <w:r>
        <w:rPr>
          <w:rFonts w:hint="eastAsia"/>
          <w:szCs w:val="28"/>
        </w:rPr>
        <w:t>GB/T 35273-2020</w:t>
      </w:r>
      <w:r>
        <w:rPr>
          <w:rFonts w:hint="eastAsia"/>
          <w:szCs w:val="28"/>
        </w:rPr>
        <w:t>对身份管理及个人信息安全的基本要求。</w:t>
      </w:r>
    </w:p>
    <w:p w:rsidR="00155EA0" w:rsidRDefault="009549C5">
      <w:pPr>
        <w:spacing w:line="560" w:lineRule="exact"/>
        <w:ind w:firstLine="560"/>
        <w:jc w:val="left"/>
        <w:rPr>
          <w:szCs w:val="28"/>
        </w:rPr>
      </w:pPr>
      <w:r>
        <w:rPr>
          <w:rFonts w:hint="eastAsia"/>
          <w:szCs w:val="28"/>
        </w:rPr>
        <w:t>（</w:t>
      </w:r>
      <w:r>
        <w:rPr>
          <w:rFonts w:hint="eastAsia"/>
          <w:szCs w:val="28"/>
        </w:rPr>
        <w:t>1</w:t>
      </w:r>
      <w:r>
        <w:rPr>
          <w:szCs w:val="28"/>
        </w:rPr>
        <w:t>0</w:t>
      </w:r>
      <w:r>
        <w:rPr>
          <w:rFonts w:hint="eastAsia"/>
          <w:szCs w:val="28"/>
        </w:rPr>
        <w:t>）隐私保护</w:t>
      </w:r>
      <w:r>
        <w:rPr>
          <w:rFonts w:hint="eastAsia"/>
          <w:szCs w:val="28"/>
        </w:rPr>
        <w:tab/>
      </w:r>
    </w:p>
    <w:p w:rsidR="00155EA0" w:rsidRDefault="009549C5">
      <w:pPr>
        <w:spacing w:line="560" w:lineRule="exact"/>
        <w:ind w:firstLine="560"/>
        <w:jc w:val="left"/>
        <w:rPr>
          <w:szCs w:val="28"/>
        </w:rPr>
      </w:pPr>
      <w:r>
        <w:rPr>
          <w:rFonts w:hint="eastAsia"/>
          <w:szCs w:val="28"/>
        </w:rPr>
        <w:t>信息采集的数据经过处理后进行存储。存储的数据可提供给应用系统进行处理，也可向应用系统或者用户进行披露。应用系统产生的数据可根据需求在区块链存证。信息采集、数据存储、数据应用中产生的隐私数据可根据隐私主体的要求进行加密或者删除。区块链</w:t>
      </w:r>
      <w:r>
        <w:rPr>
          <w:szCs w:val="28"/>
        </w:rPr>
        <w:t>平台</w:t>
      </w:r>
      <w:r>
        <w:rPr>
          <w:rFonts w:hint="eastAsia"/>
          <w:szCs w:val="28"/>
        </w:rPr>
        <w:t>应满足</w:t>
      </w:r>
      <w:r>
        <w:rPr>
          <w:rFonts w:hint="eastAsia"/>
          <w:szCs w:val="28"/>
        </w:rPr>
        <w:t>JR/T 0184</w:t>
      </w:r>
      <w:r>
        <w:rPr>
          <w:rFonts w:hint="eastAsia"/>
          <w:szCs w:val="28"/>
        </w:rPr>
        <w:t>—</w:t>
      </w:r>
      <w:r>
        <w:rPr>
          <w:rFonts w:hint="eastAsia"/>
          <w:szCs w:val="28"/>
        </w:rPr>
        <w:t>2020</w:t>
      </w:r>
      <w:r>
        <w:rPr>
          <w:rFonts w:hint="eastAsia"/>
          <w:szCs w:val="28"/>
        </w:rPr>
        <w:t>和</w:t>
      </w:r>
      <w:r>
        <w:rPr>
          <w:rFonts w:hint="eastAsia"/>
          <w:szCs w:val="28"/>
        </w:rPr>
        <w:t>GB/T 35273-2020</w:t>
      </w:r>
      <w:r>
        <w:rPr>
          <w:rFonts w:hint="eastAsia"/>
          <w:szCs w:val="28"/>
        </w:rPr>
        <w:t>对隐私保护的基本要求，并提供其他功能。</w:t>
      </w:r>
    </w:p>
    <w:p w:rsidR="00155EA0" w:rsidRDefault="009549C5">
      <w:pPr>
        <w:spacing w:line="560" w:lineRule="exact"/>
        <w:ind w:firstLine="560"/>
        <w:jc w:val="left"/>
        <w:rPr>
          <w:szCs w:val="28"/>
        </w:rPr>
      </w:pPr>
      <w:r>
        <w:rPr>
          <w:rFonts w:hint="eastAsia"/>
          <w:szCs w:val="28"/>
        </w:rPr>
        <w:t>（</w:t>
      </w:r>
      <w:r>
        <w:rPr>
          <w:rFonts w:hint="eastAsia"/>
          <w:szCs w:val="28"/>
        </w:rPr>
        <w:t>1</w:t>
      </w:r>
      <w:r>
        <w:rPr>
          <w:szCs w:val="28"/>
        </w:rPr>
        <w:t>1</w:t>
      </w:r>
      <w:r>
        <w:rPr>
          <w:rFonts w:hint="eastAsia"/>
          <w:szCs w:val="28"/>
        </w:rPr>
        <w:t>）监管支撑安全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应符合可监管与可审查的特性，避免区块链网络游离于法律法规以及行业规则之外，成为洗钱、非法融资或犯罪交易的载体。包括系统监管、交易监管以及智能合约监管。</w:t>
      </w:r>
    </w:p>
    <w:p w:rsidR="00155EA0" w:rsidRDefault="009549C5">
      <w:pPr>
        <w:spacing w:line="560" w:lineRule="exact"/>
        <w:ind w:firstLine="560"/>
        <w:jc w:val="left"/>
        <w:rPr>
          <w:szCs w:val="28"/>
        </w:rPr>
      </w:pPr>
      <w:r>
        <w:rPr>
          <w:rFonts w:hint="eastAsia"/>
          <w:szCs w:val="28"/>
        </w:rPr>
        <w:t>（</w:t>
      </w:r>
      <w:r>
        <w:rPr>
          <w:rFonts w:hint="eastAsia"/>
          <w:szCs w:val="28"/>
        </w:rPr>
        <w:t>1</w:t>
      </w:r>
      <w:r>
        <w:rPr>
          <w:szCs w:val="28"/>
        </w:rPr>
        <w:t>2</w:t>
      </w:r>
      <w:r>
        <w:rPr>
          <w:rFonts w:hint="eastAsia"/>
          <w:szCs w:val="28"/>
        </w:rPr>
        <w:t>）运维安全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应运维要求应符合</w:t>
      </w:r>
      <w:r>
        <w:rPr>
          <w:rFonts w:hint="eastAsia"/>
          <w:szCs w:val="28"/>
        </w:rPr>
        <w:t>GB/T 22239-2019</w:t>
      </w:r>
      <w:r>
        <w:rPr>
          <w:rFonts w:hint="eastAsia"/>
          <w:szCs w:val="28"/>
        </w:rPr>
        <w:t>中安</w:t>
      </w:r>
      <w:r>
        <w:rPr>
          <w:rFonts w:hint="eastAsia"/>
          <w:szCs w:val="28"/>
        </w:rPr>
        <w:lastRenderedPageBreak/>
        <w:t>全运维管理相关要求，同时还应包括设备管理、节点控制、节点版本升级、漏洞修复、备份与恢复、应急预案管理、权限管理、议案机制等功能。</w:t>
      </w:r>
    </w:p>
    <w:p w:rsidR="00155EA0" w:rsidRDefault="009549C5">
      <w:pPr>
        <w:spacing w:line="560" w:lineRule="exact"/>
        <w:ind w:firstLine="560"/>
        <w:jc w:val="left"/>
        <w:rPr>
          <w:szCs w:val="28"/>
        </w:rPr>
      </w:pPr>
      <w:r>
        <w:rPr>
          <w:rFonts w:hint="eastAsia"/>
          <w:szCs w:val="28"/>
        </w:rPr>
        <w:t>（</w:t>
      </w:r>
      <w:r>
        <w:rPr>
          <w:rFonts w:hint="eastAsia"/>
          <w:szCs w:val="28"/>
        </w:rPr>
        <w:t>1</w:t>
      </w:r>
      <w:r>
        <w:rPr>
          <w:szCs w:val="28"/>
        </w:rPr>
        <w:t>3</w:t>
      </w:r>
      <w:r>
        <w:rPr>
          <w:rFonts w:hint="eastAsia"/>
          <w:szCs w:val="28"/>
        </w:rPr>
        <w:t>）治理机制安全</w:t>
      </w:r>
      <w:r>
        <w:rPr>
          <w:rFonts w:hint="eastAsia"/>
          <w:szCs w:val="28"/>
        </w:rPr>
        <w:tab/>
      </w:r>
    </w:p>
    <w:p w:rsidR="00155EA0" w:rsidRDefault="009549C5">
      <w:pPr>
        <w:spacing w:line="560" w:lineRule="exact"/>
        <w:ind w:firstLine="560"/>
        <w:jc w:val="left"/>
        <w:rPr>
          <w:szCs w:val="28"/>
        </w:rPr>
      </w:pPr>
      <w:r>
        <w:rPr>
          <w:rFonts w:hint="eastAsia"/>
          <w:szCs w:val="28"/>
        </w:rPr>
        <w:t>本节规定区块链</w:t>
      </w:r>
      <w:r>
        <w:rPr>
          <w:szCs w:val="28"/>
        </w:rPr>
        <w:t>平台</w:t>
      </w:r>
      <w:r>
        <w:rPr>
          <w:rFonts w:hint="eastAsia"/>
          <w:szCs w:val="28"/>
        </w:rPr>
        <w:t>的治理机制应遵循</w:t>
      </w:r>
      <w:r>
        <w:rPr>
          <w:rFonts w:hint="eastAsia"/>
          <w:szCs w:val="28"/>
        </w:rPr>
        <w:t>GB/T 22239-2019</w:t>
      </w:r>
      <w:r>
        <w:rPr>
          <w:rFonts w:hint="eastAsia"/>
          <w:szCs w:val="28"/>
        </w:rPr>
        <w:t>中三级以上的安全管理制度、安全管理机构和人员安全管理相关要求。</w:t>
      </w:r>
    </w:p>
    <w:p w:rsidR="00155EA0" w:rsidRDefault="009549C5">
      <w:pPr>
        <w:pStyle w:val="1"/>
        <w:rPr>
          <w:rFonts w:ascii="宋体" w:hAnsi="宋体"/>
        </w:rPr>
      </w:pPr>
      <w:r>
        <w:rPr>
          <w:rFonts w:ascii="宋体" w:hAnsi="宋体" w:hint="eastAsia"/>
        </w:rPr>
        <w:lastRenderedPageBreak/>
        <w:t>8.国内外相关</w:t>
      </w:r>
      <w:r>
        <w:rPr>
          <w:rFonts w:ascii="宋体" w:hAnsi="宋体"/>
        </w:rPr>
        <w:t>标准情况</w:t>
      </w:r>
      <w:bookmarkEnd w:id="60"/>
      <w:bookmarkEnd w:id="61"/>
      <w:bookmarkEnd w:id="62"/>
      <w:bookmarkEnd w:id="63"/>
    </w:p>
    <w:p w:rsidR="00155EA0" w:rsidRDefault="009549C5">
      <w:pPr>
        <w:spacing w:line="560" w:lineRule="exact"/>
        <w:ind w:firstLine="562"/>
        <w:jc w:val="left"/>
        <w:outlineLvl w:val="1"/>
        <w:rPr>
          <w:b/>
          <w:bCs/>
          <w:szCs w:val="28"/>
        </w:rPr>
      </w:pPr>
      <w:r>
        <w:rPr>
          <w:b/>
          <w:bCs/>
          <w:szCs w:val="28"/>
        </w:rPr>
        <w:t>8.</w:t>
      </w:r>
      <w:r>
        <w:rPr>
          <w:rFonts w:hint="eastAsia"/>
          <w:b/>
          <w:bCs/>
          <w:szCs w:val="28"/>
        </w:rPr>
        <w:t xml:space="preserve">1 </w:t>
      </w:r>
      <w:r>
        <w:rPr>
          <w:rFonts w:hint="eastAsia"/>
          <w:b/>
          <w:bCs/>
          <w:szCs w:val="28"/>
        </w:rPr>
        <w:t>国外区块链技术标准状况</w:t>
      </w:r>
    </w:p>
    <w:p w:rsidR="00155EA0" w:rsidRDefault="009549C5">
      <w:pPr>
        <w:spacing w:line="560" w:lineRule="exact"/>
        <w:ind w:firstLine="560"/>
        <w:jc w:val="left"/>
        <w:rPr>
          <w:szCs w:val="28"/>
        </w:rPr>
      </w:pPr>
      <w:r>
        <w:rPr>
          <w:rFonts w:hint="eastAsia"/>
          <w:szCs w:val="28"/>
        </w:rPr>
        <w:t>国际标准方面，国际电信联盟</w:t>
      </w:r>
      <w:r>
        <w:rPr>
          <w:rFonts w:hint="eastAsia"/>
          <w:szCs w:val="28"/>
        </w:rPr>
        <w:t xml:space="preserve"> (International Telecommunication Union, ITU </w:t>
      </w:r>
      <w:r>
        <w:rPr>
          <w:rFonts w:hint="eastAsia"/>
          <w:szCs w:val="28"/>
        </w:rPr>
        <w:t>）、国际标准化组织（</w:t>
      </w:r>
      <w:r>
        <w:rPr>
          <w:rFonts w:hint="eastAsia"/>
          <w:szCs w:val="28"/>
        </w:rPr>
        <w:t>International Organization for Standardization, ISO</w:t>
      </w:r>
      <w:r>
        <w:rPr>
          <w:rFonts w:hint="eastAsia"/>
          <w:szCs w:val="28"/>
        </w:rPr>
        <w:t>）、电气与电子工程师协会（</w:t>
      </w:r>
      <w:r>
        <w:rPr>
          <w:rFonts w:hint="eastAsia"/>
          <w:szCs w:val="28"/>
        </w:rPr>
        <w:t>Institute of Electrical and Electronics Engineers, IEEE</w:t>
      </w:r>
      <w:r>
        <w:rPr>
          <w:rFonts w:hint="eastAsia"/>
          <w:szCs w:val="28"/>
        </w:rPr>
        <w:t>）及万维网联盟（</w:t>
      </w:r>
      <w:r>
        <w:rPr>
          <w:rFonts w:hint="eastAsia"/>
          <w:szCs w:val="28"/>
        </w:rPr>
        <w:t>World Wide Web Consortium</w:t>
      </w:r>
      <w:r>
        <w:rPr>
          <w:rFonts w:hint="eastAsia"/>
          <w:szCs w:val="28"/>
        </w:rPr>
        <w:t>）具有全球影响力的机构均成立了区块链标准工作组或委员会，致力于推动区块链国际标准的制定。其中南京数字金融产业研究院落地全球唯一金融科技代表处并成立数字资产标准社区组及产品追溯与区块链标准社区组。</w:t>
      </w:r>
    </w:p>
    <w:p w:rsidR="00155EA0" w:rsidRDefault="009549C5">
      <w:pPr>
        <w:spacing w:line="560" w:lineRule="exact"/>
        <w:ind w:firstLine="560"/>
        <w:jc w:val="left"/>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ITU-T</w:t>
      </w:r>
      <w:r>
        <w:rPr>
          <w:rFonts w:hint="eastAsia"/>
          <w:szCs w:val="28"/>
        </w:rPr>
        <w:t>（电信标准化部门）已发布区块链</w:t>
      </w:r>
      <w:r>
        <w:rPr>
          <w:rFonts w:hint="eastAsia"/>
          <w:szCs w:val="28"/>
        </w:rPr>
        <w:t>/</w:t>
      </w:r>
      <w:r>
        <w:rPr>
          <w:rFonts w:hint="eastAsia"/>
          <w:szCs w:val="28"/>
        </w:rPr>
        <w:t>分布式账本技术相关标准</w:t>
      </w:r>
      <w:r>
        <w:rPr>
          <w:rFonts w:hint="eastAsia"/>
          <w:szCs w:val="28"/>
        </w:rPr>
        <w:t>14</w:t>
      </w:r>
      <w:r>
        <w:rPr>
          <w:rFonts w:hint="eastAsia"/>
          <w:szCs w:val="28"/>
        </w:rPr>
        <w:t>项，其中</w:t>
      </w:r>
      <w:r>
        <w:rPr>
          <w:rFonts w:hint="eastAsia"/>
          <w:szCs w:val="28"/>
        </w:rPr>
        <w:t>2</w:t>
      </w:r>
      <w:r>
        <w:rPr>
          <w:rFonts w:hint="eastAsia"/>
          <w:szCs w:val="28"/>
        </w:rPr>
        <w:t>项在</w:t>
      </w:r>
      <w:r>
        <w:rPr>
          <w:rFonts w:hint="eastAsia"/>
          <w:szCs w:val="28"/>
        </w:rPr>
        <w:t>2019</w:t>
      </w:r>
      <w:r>
        <w:rPr>
          <w:rFonts w:hint="eastAsia"/>
          <w:szCs w:val="28"/>
        </w:rPr>
        <w:t>年年底批准，全部</w:t>
      </w:r>
      <w:r>
        <w:rPr>
          <w:rFonts w:hint="eastAsia"/>
          <w:szCs w:val="28"/>
        </w:rPr>
        <w:t>14</w:t>
      </w:r>
      <w:r>
        <w:rPr>
          <w:rFonts w:hint="eastAsia"/>
          <w:szCs w:val="28"/>
        </w:rPr>
        <w:t>项均在</w:t>
      </w:r>
      <w:r>
        <w:rPr>
          <w:rFonts w:hint="eastAsia"/>
          <w:szCs w:val="28"/>
        </w:rPr>
        <w:t>2020</w:t>
      </w:r>
      <w:r>
        <w:rPr>
          <w:rFonts w:hint="eastAsia"/>
          <w:szCs w:val="28"/>
        </w:rPr>
        <w:t>年发布。在已经发布的标准中，</w:t>
      </w:r>
      <w:r>
        <w:rPr>
          <w:rFonts w:hint="eastAsia"/>
          <w:szCs w:val="28"/>
        </w:rPr>
        <w:t>4</w:t>
      </w:r>
      <w:r>
        <w:rPr>
          <w:rFonts w:hint="eastAsia"/>
          <w:szCs w:val="28"/>
        </w:rPr>
        <w:t>项与安全相关，</w:t>
      </w:r>
      <w:r>
        <w:rPr>
          <w:rFonts w:hint="eastAsia"/>
          <w:szCs w:val="28"/>
        </w:rPr>
        <w:t>3</w:t>
      </w:r>
      <w:r>
        <w:rPr>
          <w:rFonts w:hint="eastAsia"/>
          <w:szCs w:val="28"/>
        </w:rPr>
        <w:t>项与数据管理相关，</w:t>
      </w:r>
      <w:r>
        <w:rPr>
          <w:rFonts w:hint="eastAsia"/>
          <w:szCs w:val="28"/>
        </w:rPr>
        <w:t>3</w:t>
      </w:r>
      <w:r>
        <w:rPr>
          <w:rFonts w:hint="eastAsia"/>
          <w:szCs w:val="28"/>
        </w:rPr>
        <w:t>项与物联网相关，由此可见</w:t>
      </w:r>
      <w:r>
        <w:rPr>
          <w:rFonts w:hint="eastAsia"/>
          <w:szCs w:val="28"/>
        </w:rPr>
        <w:t>ITU</w:t>
      </w:r>
      <w:r>
        <w:rPr>
          <w:rFonts w:hint="eastAsia"/>
          <w:szCs w:val="28"/>
        </w:rPr>
        <w:t>对于安全问题和物联网、数据问题的重视。</w:t>
      </w:r>
    </w:p>
    <w:p w:rsidR="00155EA0" w:rsidRDefault="009549C5">
      <w:pPr>
        <w:spacing w:line="560" w:lineRule="exact"/>
        <w:ind w:firstLine="560"/>
        <w:jc w:val="left"/>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ISO/TC 307</w:t>
      </w:r>
      <w:r>
        <w:rPr>
          <w:rFonts w:hint="eastAsia"/>
          <w:szCs w:val="28"/>
        </w:rPr>
        <w:t>（区块链和分布式记账技术技术委员会）共设立</w:t>
      </w:r>
      <w:r>
        <w:rPr>
          <w:rFonts w:hint="eastAsia"/>
          <w:szCs w:val="28"/>
        </w:rPr>
        <w:t>12</w:t>
      </w:r>
      <w:r>
        <w:rPr>
          <w:rFonts w:hint="eastAsia"/>
          <w:szCs w:val="28"/>
        </w:rPr>
        <w:t>个工作小组，分别负责区块链技术、互操作性、安全等细分领域的具体标准审核，秘书处设在澳大利亚，在世界范围内有</w:t>
      </w:r>
      <w:r>
        <w:rPr>
          <w:rFonts w:hint="eastAsia"/>
          <w:szCs w:val="28"/>
        </w:rPr>
        <w:t>46</w:t>
      </w:r>
      <w:r>
        <w:rPr>
          <w:rFonts w:hint="eastAsia"/>
          <w:szCs w:val="28"/>
        </w:rPr>
        <w:t>个参与成员（</w:t>
      </w:r>
      <w:r>
        <w:rPr>
          <w:rFonts w:hint="eastAsia"/>
          <w:szCs w:val="28"/>
        </w:rPr>
        <w:t>PARTICIPATING MEMBERS</w:t>
      </w:r>
      <w:r>
        <w:rPr>
          <w:rFonts w:hint="eastAsia"/>
          <w:szCs w:val="28"/>
        </w:rPr>
        <w:t>）和</w:t>
      </w:r>
      <w:r>
        <w:rPr>
          <w:rFonts w:hint="eastAsia"/>
          <w:szCs w:val="28"/>
        </w:rPr>
        <w:t>13</w:t>
      </w:r>
      <w:r>
        <w:rPr>
          <w:rFonts w:hint="eastAsia"/>
          <w:szCs w:val="28"/>
        </w:rPr>
        <w:t>个观察成员（</w:t>
      </w:r>
      <w:r>
        <w:rPr>
          <w:rFonts w:hint="eastAsia"/>
          <w:szCs w:val="28"/>
        </w:rPr>
        <w:t>OBSERVING MEMBERS</w:t>
      </w:r>
      <w:r>
        <w:rPr>
          <w:rFonts w:hint="eastAsia"/>
          <w:szCs w:val="28"/>
        </w:rPr>
        <w:t>）。截至</w:t>
      </w:r>
      <w:r>
        <w:rPr>
          <w:rFonts w:hint="eastAsia"/>
          <w:szCs w:val="28"/>
        </w:rPr>
        <w:t>2020</w:t>
      </w:r>
      <w:r>
        <w:rPr>
          <w:rFonts w:hint="eastAsia"/>
          <w:szCs w:val="28"/>
        </w:rPr>
        <w:t>年</w:t>
      </w:r>
      <w:r>
        <w:rPr>
          <w:rFonts w:hint="eastAsia"/>
          <w:szCs w:val="28"/>
        </w:rPr>
        <w:t>12</w:t>
      </w:r>
      <w:r>
        <w:rPr>
          <w:rFonts w:hint="eastAsia"/>
          <w:szCs w:val="28"/>
        </w:rPr>
        <w:t>月，</w:t>
      </w:r>
      <w:r>
        <w:rPr>
          <w:rFonts w:hint="eastAsia"/>
          <w:szCs w:val="28"/>
        </w:rPr>
        <w:t>ISO/TC</w:t>
      </w:r>
      <w:r>
        <w:rPr>
          <w:rFonts w:hint="eastAsia"/>
          <w:szCs w:val="28"/>
        </w:rPr>
        <w:t>已经发布区块链相关国际标准</w:t>
      </w:r>
      <w:r>
        <w:rPr>
          <w:rFonts w:hint="eastAsia"/>
          <w:szCs w:val="28"/>
        </w:rPr>
        <w:t>4</w:t>
      </w:r>
      <w:r>
        <w:rPr>
          <w:rFonts w:hint="eastAsia"/>
          <w:szCs w:val="28"/>
        </w:rPr>
        <w:t>项，撤销</w:t>
      </w:r>
      <w:r>
        <w:rPr>
          <w:rFonts w:hint="eastAsia"/>
          <w:szCs w:val="28"/>
        </w:rPr>
        <w:t>1</w:t>
      </w:r>
      <w:r>
        <w:rPr>
          <w:rFonts w:hint="eastAsia"/>
          <w:szCs w:val="28"/>
        </w:rPr>
        <w:t>项，另有</w:t>
      </w:r>
      <w:r>
        <w:rPr>
          <w:rFonts w:hint="eastAsia"/>
          <w:szCs w:val="28"/>
        </w:rPr>
        <w:t>11</w:t>
      </w:r>
      <w:r>
        <w:rPr>
          <w:rFonts w:hint="eastAsia"/>
          <w:szCs w:val="28"/>
        </w:rPr>
        <w:t>项正在制定中，已发布的标准包括了区块链术语概念、系统概述、隐私保护和人员管理，构建了国际区块链领域的共识基石，正在制定中的标准将对区块链的参考架构、分类、案例等方面给出规范，打</w:t>
      </w:r>
      <w:r>
        <w:rPr>
          <w:rFonts w:hint="eastAsia"/>
          <w:szCs w:val="28"/>
        </w:rPr>
        <w:lastRenderedPageBreak/>
        <w:t>造更好的国际区块链合作基础。</w:t>
      </w:r>
    </w:p>
    <w:p w:rsidR="00155EA0" w:rsidRDefault="009549C5">
      <w:pPr>
        <w:spacing w:line="560" w:lineRule="exact"/>
        <w:ind w:firstLine="560"/>
        <w:jc w:val="left"/>
        <w:rPr>
          <w:szCs w:val="28"/>
        </w:rPr>
      </w:pPr>
      <w:r>
        <w:rPr>
          <w:rFonts w:hint="eastAsia"/>
          <w:szCs w:val="28"/>
        </w:rPr>
        <w:t>2020</w:t>
      </w:r>
      <w:r>
        <w:rPr>
          <w:rFonts w:hint="eastAsia"/>
          <w:szCs w:val="28"/>
        </w:rPr>
        <w:t>年</w:t>
      </w:r>
      <w:r>
        <w:rPr>
          <w:rFonts w:hint="eastAsia"/>
          <w:szCs w:val="28"/>
        </w:rPr>
        <w:t>3</w:t>
      </w:r>
      <w:r>
        <w:rPr>
          <w:rFonts w:hint="eastAsia"/>
          <w:szCs w:val="28"/>
        </w:rPr>
        <w:t>月，第一项</w:t>
      </w:r>
      <w:r>
        <w:rPr>
          <w:rFonts w:hint="eastAsia"/>
          <w:szCs w:val="28"/>
        </w:rPr>
        <w:t>IEEE</w:t>
      </w:r>
      <w:r>
        <w:rPr>
          <w:rFonts w:hint="eastAsia"/>
          <w:szCs w:val="28"/>
        </w:rPr>
        <w:t>（电气与电子工程师协会）区块链标准“</w:t>
      </w:r>
      <w:r>
        <w:rPr>
          <w:rFonts w:hint="eastAsia"/>
          <w:szCs w:val="28"/>
        </w:rPr>
        <w:t>IEEE Standard for Data Format for Blockchain Systems</w:t>
      </w:r>
      <w:r>
        <w:rPr>
          <w:rFonts w:hint="eastAsia"/>
          <w:szCs w:val="28"/>
        </w:rPr>
        <w:t>”成功通过委员会批准，明确了区块链系统的数据格式要求，在数据结构、数据类型等方面给出规范。截至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IEEE</w:t>
      </w:r>
      <w:r>
        <w:rPr>
          <w:rFonts w:hint="eastAsia"/>
          <w:szCs w:val="28"/>
        </w:rPr>
        <w:t>已发布区块链相关标准</w:t>
      </w:r>
      <w:r>
        <w:rPr>
          <w:rFonts w:hint="eastAsia"/>
          <w:szCs w:val="28"/>
        </w:rPr>
        <w:t>5</w:t>
      </w:r>
      <w:r>
        <w:rPr>
          <w:rFonts w:hint="eastAsia"/>
          <w:szCs w:val="28"/>
        </w:rPr>
        <w:t>项，其中</w:t>
      </w:r>
      <w:r>
        <w:rPr>
          <w:rFonts w:hint="eastAsia"/>
          <w:szCs w:val="28"/>
        </w:rPr>
        <w:t>3</w:t>
      </w:r>
      <w:r>
        <w:rPr>
          <w:rFonts w:hint="eastAsia"/>
          <w:szCs w:val="28"/>
        </w:rPr>
        <w:t>项与加密货币相关，另有</w:t>
      </w:r>
      <w:r>
        <w:rPr>
          <w:rFonts w:hint="eastAsia"/>
          <w:szCs w:val="28"/>
        </w:rPr>
        <w:t>1</w:t>
      </w:r>
      <w:r>
        <w:rPr>
          <w:rFonts w:hint="eastAsia"/>
          <w:szCs w:val="28"/>
        </w:rPr>
        <w:t>项数据格式标准和</w:t>
      </w:r>
      <w:r>
        <w:rPr>
          <w:rFonts w:hint="eastAsia"/>
          <w:szCs w:val="28"/>
        </w:rPr>
        <w:t>1</w:t>
      </w:r>
      <w:r>
        <w:rPr>
          <w:rFonts w:hint="eastAsia"/>
          <w:szCs w:val="28"/>
        </w:rPr>
        <w:t>项数据管理标准。</w:t>
      </w:r>
    </w:p>
    <w:p w:rsidR="00155EA0" w:rsidRDefault="009549C5">
      <w:pPr>
        <w:spacing w:line="560" w:lineRule="exact"/>
        <w:ind w:firstLine="562"/>
        <w:jc w:val="left"/>
        <w:outlineLvl w:val="1"/>
        <w:rPr>
          <w:b/>
          <w:bCs/>
          <w:szCs w:val="28"/>
        </w:rPr>
      </w:pPr>
      <w:r>
        <w:rPr>
          <w:b/>
          <w:bCs/>
          <w:szCs w:val="28"/>
        </w:rPr>
        <w:t>8.</w:t>
      </w:r>
      <w:r>
        <w:rPr>
          <w:rFonts w:hint="eastAsia"/>
          <w:b/>
          <w:bCs/>
          <w:szCs w:val="28"/>
        </w:rPr>
        <w:t xml:space="preserve">2 </w:t>
      </w:r>
      <w:r>
        <w:rPr>
          <w:rFonts w:hint="eastAsia"/>
          <w:b/>
          <w:bCs/>
          <w:szCs w:val="28"/>
        </w:rPr>
        <w:t>国内区块链技术标准状况</w:t>
      </w:r>
    </w:p>
    <w:p w:rsidR="00155EA0" w:rsidRDefault="009549C5">
      <w:pPr>
        <w:spacing w:line="560" w:lineRule="exact"/>
        <w:ind w:firstLine="560"/>
        <w:jc w:val="left"/>
        <w:rPr>
          <w:szCs w:val="28"/>
        </w:rPr>
      </w:pPr>
      <w:r>
        <w:rPr>
          <w:rFonts w:hint="eastAsia"/>
          <w:szCs w:val="28"/>
        </w:rPr>
        <w:t>我国也正在开展区块链标准化组织建设和研制工作。这些标准涵盖了基础标准、规范标准、交互标准、安全标准和应用标准，并取得了一定进展。</w:t>
      </w:r>
    </w:p>
    <w:p w:rsidR="00155EA0" w:rsidRDefault="009549C5">
      <w:pPr>
        <w:spacing w:line="560" w:lineRule="exact"/>
        <w:ind w:firstLine="560"/>
        <w:jc w:val="left"/>
        <w:rPr>
          <w:szCs w:val="28"/>
        </w:rPr>
      </w:pPr>
      <w:r>
        <w:rPr>
          <w:rFonts w:hint="eastAsia"/>
          <w:szCs w:val="28"/>
        </w:rPr>
        <w:t>自</w:t>
      </w:r>
      <w:r>
        <w:rPr>
          <w:rFonts w:hint="eastAsia"/>
          <w:szCs w:val="28"/>
        </w:rPr>
        <w:t>2016</w:t>
      </w:r>
      <w:r>
        <w:rPr>
          <w:rFonts w:hint="eastAsia"/>
          <w:szCs w:val="28"/>
        </w:rPr>
        <w:t>年，中国便已开始启动区块链</w:t>
      </w:r>
      <w:r>
        <w:rPr>
          <w:rFonts w:hint="eastAsia"/>
          <w:szCs w:val="28"/>
        </w:rPr>
        <w:t>/</w:t>
      </w:r>
      <w:r>
        <w:rPr>
          <w:rFonts w:hint="eastAsia"/>
          <w:szCs w:val="28"/>
        </w:rPr>
        <w:t>分布式账本团体标准、地方标准、行业标准的制定工作，并在</w:t>
      </w:r>
      <w:r>
        <w:rPr>
          <w:rFonts w:hint="eastAsia"/>
          <w:szCs w:val="28"/>
        </w:rPr>
        <w:t>2017</w:t>
      </w:r>
      <w:r>
        <w:rPr>
          <w:rFonts w:hint="eastAsia"/>
          <w:szCs w:val="28"/>
        </w:rPr>
        <w:t>年</w:t>
      </w:r>
      <w:r>
        <w:rPr>
          <w:rFonts w:hint="eastAsia"/>
          <w:szCs w:val="28"/>
        </w:rPr>
        <w:t>5</w:t>
      </w:r>
      <w:r>
        <w:rPr>
          <w:rFonts w:hint="eastAsia"/>
          <w:szCs w:val="28"/>
        </w:rPr>
        <w:t>月由中国电子工业标准化技术协会联合万向区块链公司、蚂蚁小微金融服务集团、深圳前海微众银行股份有限公司等发布第一份团体标准《区块链</w:t>
      </w:r>
      <w:r>
        <w:rPr>
          <w:rFonts w:hint="eastAsia"/>
          <w:szCs w:val="28"/>
        </w:rPr>
        <w:t xml:space="preserve"> </w:t>
      </w:r>
      <w:r>
        <w:rPr>
          <w:rFonts w:hint="eastAsia"/>
          <w:szCs w:val="28"/>
        </w:rPr>
        <w:t>参考架构》（</w:t>
      </w:r>
      <w:r>
        <w:rPr>
          <w:rFonts w:hint="eastAsia"/>
          <w:szCs w:val="28"/>
        </w:rPr>
        <w:t>T/CESA 6001</w:t>
      </w:r>
      <w:r>
        <w:rPr>
          <w:rFonts w:hint="eastAsia"/>
          <w:szCs w:val="28"/>
        </w:rPr>
        <w:t>—</w:t>
      </w:r>
      <w:r>
        <w:rPr>
          <w:rFonts w:hint="eastAsia"/>
          <w:szCs w:val="28"/>
        </w:rPr>
        <w:t>2016</w:t>
      </w:r>
      <w:r>
        <w:rPr>
          <w:rFonts w:hint="eastAsia"/>
          <w:szCs w:val="28"/>
        </w:rPr>
        <w:t>）。</w:t>
      </w:r>
    </w:p>
    <w:p w:rsidR="00155EA0" w:rsidRDefault="009549C5">
      <w:pPr>
        <w:spacing w:line="560" w:lineRule="exact"/>
        <w:ind w:firstLine="560"/>
        <w:jc w:val="left"/>
        <w:rPr>
          <w:szCs w:val="28"/>
        </w:rPr>
      </w:pPr>
      <w:r>
        <w:rPr>
          <w:rFonts w:hint="eastAsia"/>
          <w:szCs w:val="28"/>
        </w:rPr>
        <w:t>2017</w:t>
      </w:r>
      <w:r>
        <w:rPr>
          <w:rFonts w:hint="eastAsia"/>
          <w:szCs w:val="28"/>
        </w:rPr>
        <w:t>年</w:t>
      </w:r>
      <w:r>
        <w:rPr>
          <w:rFonts w:hint="eastAsia"/>
          <w:szCs w:val="28"/>
        </w:rPr>
        <w:t>12</w:t>
      </w:r>
      <w:r>
        <w:rPr>
          <w:rFonts w:hint="eastAsia"/>
          <w:szCs w:val="28"/>
        </w:rPr>
        <w:t>月，由中国电子技术标准化研究院牵头的首个区块链领域国家标准《信息技术区块链和分布式账本技术参考架构》（计划编号：</w:t>
      </w:r>
      <w:r>
        <w:rPr>
          <w:rFonts w:hint="eastAsia"/>
          <w:szCs w:val="28"/>
        </w:rPr>
        <w:t>20173824-T-469</w:t>
      </w:r>
      <w:r>
        <w:rPr>
          <w:rFonts w:hint="eastAsia"/>
          <w:szCs w:val="28"/>
        </w:rPr>
        <w:t>）正式立项，标志着区块链国家标准制定的开始，与国际区块链标准制定的起步基本同时。</w:t>
      </w:r>
    </w:p>
    <w:p w:rsidR="00155EA0" w:rsidRDefault="009549C5">
      <w:pPr>
        <w:spacing w:line="560" w:lineRule="exact"/>
        <w:ind w:firstLine="560"/>
        <w:jc w:val="left"/>
        <w:rPr>
          <w:szCs w:val="28"/>
        </w:rPr>
      </w:pPr>
      <w:r>
        <w:rPr>
          <w:rFonts w:hint="eastAsia"/>
          <w:szCs w:val="28"/>
        </w:rPr>
        <w:t>2020</w:t>
      </w:r>
      <w:r>
        <w:rPr>
          <w:rFonts w:hint="eastAsia"/>
          <w:szCs w:val="28"/>
        </w:rPr>
        <w:t>年有三项标准跻身国家标准立项，</w:t>
      </w:r>
      <w:r>
        <w:rPr>
          <w:rFonts w:hint="eastAsia"/>
          <w:szCs w:val="28"/>
        </w:rPr>
        <w:t>20173824-T-469</w:t>
      </w:r>
      <w:r>
        <w:rPr>
          <w:rFonts w:hint="eastAsia"/>
          <w:szCs w:val="28"/>
        </w:rPr>
        <w:t>区块链和分布式记账技术参考架构；</w:t>
      </w:r>
      <w:r>
        <w:rPr>
          <w:rFonts w:hint="eastAsia"/>
          <w:szCs w:val="28"/>
        </w:rPr>
        <w:t>20201615-T-469</w:t>
      </w:r>
      <w:r>
        <w:rPr>
          <w:rFonts w:hint="eastAsia"/>
          <w:szCs w:val="28"/>
        </w:rPr>
        <w:t>区块链和分布式记账技术智能合约实施规范；</w:t>
      </w:r>
      <w:r>
        <w:rPr>
          <w:rFonts w:hint="eastAsia"/>
          <w:szCs w:val="28"/>
        </w:rPr>
        <w:t>20201612-T-469</w:t>
      </w:r>
      <w:r>
        <w:rPr>
          <w:rFonts w:hint="eastAsia"/>
          <w:szCs w:val="28"/>
        </w:rPr>
        <w:t>区块链和分布式记账技术存证应用指南。</w:t>
      </w:r>
    </w:p>
    <w:p w:rsidR="00155EA0" w:rsidRDefault="009549C5">
      <w:pPr>
        <w:pStyle w:val="1"/>
        <w:rPr>
          <w:rFonts w:ascii="宋体" w:hAnsi="宋体"/>
        </w:rPr>
      </w:pPr>
      <w:bookmarkStart w:id="64" w:name="_Toc11007"/>
      <w:bookmarkStart w:id="65" w:name="_Toc145343499"/>
      <w:r>
        <w:rPr>
          <w:rFonts w:ascii="宋体" w:hAnsi="宋体" w:hint="eastAsia"/>
        </w:rPr>
        <w:lastRenderedPageBreak/>
        <w:t>9.标准实施的建议</w:t>
      </w:r>
      <w:bookmarkEnd w:id="64"/>
      <w:bookmarkEnd w:id="65"/>
    </w:p>
    <w:p w:rsidR="00155EA0" w:rsidRDefault="009549C5">
      <w:pPr>
        <w:spacing w:line="560" w:lineRule="exact"/>
        <w:ind w:firstLine="560"/>
        <w:jc w:val="left"/>
        <w:rPr>
          <w:szCs w:val="28"/>
        </w:rPr>
      </w:pPr>
      <w:bookmarkStart w:id="66" w:name="_Toc145343500"/>
      <w:bookmarkStart w:id="67" w:name="_Toc14108"/>
      <w:r>
        <w:rPr>
          <w:rFonts w:hint="eastAsia"/>
          <w:szCs w:val="28"/>
        </w:rPr>
        <w:t>本文件适用于江苏省建设区块链</w:t>
      </w:r>
      <w:r>
        <w:rPr>
          <w:szCs w:val="28"/>
        </w:rPr>
        <w:t>平台</w:t>
      </w:r>
      <w:r>
        <w:rPr>
          <w:rFonts w:hint="eastAsia"/>
          <w:szCs w:val="28"/>
        </w:rPr>
        <w:t>及开展相关服务。建议作为推荐性标准发布实施。</w:t>
      </w:r>
    </w:p>
    <w:p w:rsidR="00155EA0" w:rsidRDefault="009549C5">
      <w:pPr>
        <w:pStyle w:val="1"/>
        <w:rPr>
          <w:rFonts w:ascii="宋体" w:hAnsi="宋体"/>
        </w:rPr>
      </w:pPr>
      <w:r>
        <w:rPr>
          <w:rFonts w:ascii="宋体" w:hAnsi="宋体" w:hint="eastAsia"/>
        </w:rPr>
        <w:lastRenderedPageBreak/>
        <w:t>10.贯彻标准要求和措施</w:t>
      </w:r>
      <w:bookmarkEnd w:id="66"/>
      <w:bookmarkEnd w:id="67"/>
    </w:p>
    <w:p w:rsidR="00155EA0" w:rsidRDefault="009549C5">
      <w:pPr>
        <w:spacing w:line="560" w:lineRule="exact"/>
        <w:ind w:firstLine="560"/>
        <w:jc w:val="left"/>
        <w:rPr>
          <w:szCs w:val="28"/>
        </w:rPr>
      </w:pPr>
      <w:r>
        <w:rPr>
          <w:rFonts w:hint="eastAsia"/>
          <w:szCs w:val="28"/>
        </w:rPr>
        <w:t>本文件规定了区块链</w:t>
      </w:r>
      <w:r>
        <w:rPr>
          <w:szCs w:val="28"/>
        </w:rPr>
        <w:t>平台</w:t>
      </w:r>
      <w:r>
        <w:rPr>
          <w:rFonts w:hint="eastAsia"/>
          <w:szCs w:val="28"/>
        </w:rPr>
        <w:t>的基本功能、性能、要求、安全等规范。适用于江苏省建设区块链</w:t>
      </w:r>
      <w:r>
        <w:rPr>
          <w:szCs w:val="28"/>
        </w:rPr>
        <w:t>平台</w:t>
      </w:r>
      <w:r>
        <w:rPr>
          <w:rFonts w:hint="eastAsia"/>
          <w:szCs w:val="28"/>
        </w:rPr>
        <w:t>及开展相关服务。</w:t>
      </w:r>
    </w:p>
    <w:p w:rsidR="00155EA0" w:rsidRDefault="009549C5">
      <w:pPr>
        <w:spacing w:line="560" w:lineRule="exact"/>
        <w:ind w:firstLine="560"/>
        <w:jc w:val="left"/>
        <w:rPr>
          <w:szCs w:val="28"/>
        </w:rPr>
      </w:pPr>
      <w:r>
        <w:rPr>
          <w:rFonts w:hint="eastAsia"/>
          <w:szCs w:val="28"/>
        </w:rPr>
        <w:t>实施计划：</w:t>
      </w: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42"/>
        <w:gridCol w:w="986"/>
        <w:gridCol w:w="857"/>
        <w:gridCol w:w="851"/>
        <w:gridCol w:w="850"/>
        <w:gridCol w:w="851"/>
        <w:gridCol w:w="985"/>
        <w:gridCol w:w="985"/>
      </w:tblGrid>
      <w:tr w:rsidR="00155EA0">
        <w:tc>
          <w:tcPr>
            <w:tcW w:w="458" w:type="dxa"/>
            <w:vMerge w:val="restart"/>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序号</w:t>
            </w:r>
          </w:p>
        </w:tc>
        <w:tc>
          <w:tcPr>
            <w:tcW w:w="1842" w:type="dxa"/>
            <w:vMerge w:val="restart"/>
            <w:vAlign w:val="center"/>
          </w:tcPr>
          <w:p w:rsidR="00155EA0" w:rsidRDefault="009549C5">
            <w:pPr>
              <w:autoSpaceDE w:val="0"/>
              <w:autoSpaceDN w:val="0"/>
              <w:snapToGrid w:val="0"/>
              <w:spacing w:line="288" w:lineRule="auto"/>
              <w:ind w:firstLineChars="0" w:firstLine="0"/>
              <w:jc w:val="center"/>
              <w:rPr>
                <w:rFonts w:ascii="楷体_GB2312" w:eastAsia="楷体_GB2312" w:hAnsi="Calibri"/>
                <w:snapToGrid w:val="0"/>
                <w:kern w:val="0"/>
                <w:sz w:val="24"/>
              </w:rPr>
            </w:pPr>
            <w:r>
              <w:rPr>
                <w:rFonts w:ascii="楷体_GB2312" w:eastAsia="楷体_GB2312" w:hAnsi="Calibri" w:hint="eastAsia"/>
                <w:snapToGrid w:val="0"/>
                <w:kern w:val="0"/>
                <w:sz w:val="24"/>
              </w:rPr>
              <w:t>研究计划</w:t>
            </w:r>
          </w:p>
        </w:tc>
        <w:tc>
          <w:tcPr>
            <w:tcW w:w="6365" w:type="dxa"/>
            <w:gridSpan w:val="7"/>
          </w:tcPr>
          <w:p w:rsidR="00155EA0" w:rsidRDefault="009549C5">
            <w:pPr>
              <w:autoSpaceDE w:val="0"/>
              <w:autoSpaceDN w:val="0"/>
              <w:snapToGrid w:val="0"/>
              <w:spacing w:line="288" w:lineRule="auto"/>
              <w:ind w:firstLineChars="0" w:firstLine="624"/>
              <w:jc w:val="center"/>
              <w:rPr>
                <w:rFonts w:ascii="Calibri" w:eastAsia="楷体_GB2312" w:hAnsi="Calibri"/>
                <w:snapToGrid w:val="0"/>
                <w:kern w:val="0"/>
                <w:sz w:val="24"/>
              </w:rPr>
            </w:pPr>
            <w:r>
              <w:rPr>
                <w:rFonts w:ascii="Calibri" w:eastAsia="楷体_GB2312" w:hAnsi="Calibri" w:hint="eastAsia"/>
                <w:snapToGrid w:val="0"/>
                <w:kern w:val="0"/>
                <w:sz w:val="24"/>
              </w:rPr>
              <w:t>20</w:t>
            </w:r>
            <w:r>
              <w:rPr>
                <w:rFonts w:ascii="Calibri" w:eastAsia="楷体_GB2312" w:hAnsi="Calibri"/>
                <w:snapToGrid w:val="0"/>
                <w:kern w:val="0"/>
                <w:sz w:val="24"/>
              </w:rPr>
              <w:t>23</w:t>
            </w:r>
            <w:r>
              <w:rPr>
                <w:rFonts w:ascii="Calibri" w:eastAsia="楷体_GB2312" w:hAnsi="Calibri" w:hint="eastAsia"/>
                <w:snapToGrid w:val="0"/>
                <w:kern w:val="0"/>
                <w:sz w:val="24"/>
              </w:rPr>
              <w:t>.</w:t>
            </w:r>
            <w:r>
              <w:rPr>
                <w:rFonts w:ascii="Calibri" w:eastAsia="楷体_GB2312" w:hAnsi="Calibri"/>
                <w:snapToGrid w:val="0"/>
                <w:kern w:val="0"/>
                <w:sz w:val="24"/>
              </w:rPr>
              <w:t>1</w:t>
            </w:r>
            <w:r>
              <w:rPr>
                <w:rFonts w:ascii="Calibri" w:eastAsia="楷体_GB2312" w:hAnsi="Calibri" w:hint="eastAsia"/>
                <w:snapToGrid w:val="0"/>
                <w:kern w:val="0"/>
                <w:sz w:val="24"/>
              </w:rPr>
              <w:t>-202</w:t>
            </w:r>
            <w:r w:rsidR="0052241F">
              <w:rPr>
                <w:rFonts w:ascii="Calibri" w:eastAsia="楷体_GB2312" w:hAnsi="Calibri"/>
                <w:snapToGrid w:val="0"/>
                <w:kern w:val="0"/>
                <w:sz w:val="24"/>
              </w:rPr>
              <w:t>4</w:t>
            </w:r>
            <w:r>
              <w:rPr>
                <w:rFonts w:ascii="Calibri" w:eastAsia="楷体_GB2312" w:hAnsi="Calibri" w:hint="eastAsia"/>
                <w:snapToGrid w:val="0"/>
                <w:kern w:val="0"/>
                <w:sz w:val="24"/>
                <w:lang w:eastAsia="zh-Hans"/>
              </w:rPr>
              <w:t>.</w:t>
            </w:r>
            <w:r w:rsidR="0052241F">
              <w:rPr>
                <w:rFonts w:ascii="Calibri" w:eastAsia="楷体_GB2312" w:hAnsi="Calibri"/>
                <w:snapToGrid w:val="0"/>
                <w:kern w:val="0"/>
                <w:sz w:val="24"/>
                <w:lang w:eastAsia="zh-Hans"/>
              </w:rPr>
              <w:t>12</w:t>
            </w:r>
          </w:p>
        </w:tc>
      </w:tr>
      <w:tr w:rsidR="00155EA0">
        <w:trPr>
          <w:trHeight w:val="772"/>
        </w:trPr>
        <w:tc>
          <w:tcPr>
            <w:tcW w:w="458" w:type="dxa"/>
            <w:vMerge/>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1842" w:type="dxa"/>
            <w:vMerg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6" w:type="dxa"/>
            <w:vAlign w:val="center"/>
          </w:tcPr>
          <w:p w:rsidR="00F4552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2023</w:t>
            </w:r>
          </w:p>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1-2</w:t>
            </w:r>
          </w:p>
        </w:tc>
        <w:tc>
          <w:tcPr>
            <w:tcW w:w="857" w:type="dxa"/>
            <w:vAlign w:val="center"/>
          </w:tcPr>
          <w:p w:rsidR="00F4552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2023</w:t>
            </w:r>
          </w:p>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3-4</w:t>
            </w:r>
          </w:p>
        </w:tc>
        <w:tc>
          <w:tcPr>
            <w:tcW w:w="851" w:type="dxa"/>
            <w:vAlign w:val="center"/>
          </w:tcPr>
          <w:p w:rsidR="00155EA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2023.4-2024.9</w:t>
            </w:r>
          </w:p>
        </w:tc>
        <w:tc>
          <w:tcPr>
            <w:tcW w:w="850" w:type="dxa"/>
            <w:vAlign w:val="center"/>
          </w:tcPr>
          <w:p w:rsidR="00F4552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2024</w:t>
            </w:r>
          </w:p>
          <w:p w:rsidR="00155EA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10</w:t>
            </w:r>
            <w:r w:rsidR="009549C5">
              <w:rPr>
                <w:rFonts w:ascii="Calibri" w:eastAsia="楷体_GB2312" w:hAnsi="Calibri"/>
                <w:snapToGrid w:val="0"/>
                <w:kern w:val="0"/>
                <w:sz w:val="24"/>
              </w:rPr>
              <w:t>-</w:t>
            </w:r>
            <w:r>
              <w:rPr>
                <w:rFonts w:ascii="Calibri" w:eastAsia="楷体_GB2312" w:hAnsi="Calibri"/>
                <w:snapToGrid w:val="0"/>
                <w:kern w:val="0"/>
                <w:sz w:val="24"/>
              </w:rPr>
              <w:t>11</w:t>
            </w:r>
          </w:p>
        </w:tc>
        <w:tc>
          <w:tcPr>
            <w:tcW w:w="851" w:type="dxa"/>
            <w:vAlign w:val="center"/>
          </w:tcPr>
          <w:p w:rsidR="00155EA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2024</w:t>
            </w:r>
          </w:p>
          <w:p w:rsidR="00F4552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hint="eastAsia"/>
                <w:snapToGrid w:val="0"/>
                <w:kern w:val="0"/>
                <w:sz w:val="24"/>
              </w:rPr>
              <w:t>1</w:t>
            </w:r>
            <w:r>
              <w:rPr>
                <w:rFonts w:ascii="Calibri" w:eastAsia="楷体_GB2312" w:hAnsi="Calibri"/>
                <w:snapToGrid w:val="0"/>
                <w:kern w:val="0"/>
                <w:sz w:val="24"/>
              </w:rPr>
              <w:t>1</w:t>
            </w:r>
          </w:p>
        </w:tc>
        <w:tc>
          <w:tcPr>
            <w:tcW w:w="985" w:type="dxa"/>
            <w:vAlign w:val="center"/>
          </w:tcPr>
          <w:p w:rsidR="00155EA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2024</w:t>
            </w:r>
          </w:p>
          <w:p w:rsidR="00F45520" w:rsidRDefault="00F45520">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hint="eastAsia"/>
                <w:snapToGrid w:val="0"/>
                <w:kern w:val="0"/>
                <w:sz w:val="24"/>
              </w:rPr>
              <w:t>1</w:t>
            </w:r>
            <w:r>
              <w:rPr>
                <w:rFonts w:ascii="Calibri" w:eastAsia="楷体_GB2312" w:hAnsi="Calibri"/>
                <w:snapToGrid w:val="0"/>
                <w:kern w:val="0"/>
                <w:sz w:val="24"/>
              </w:rPr>
              <w:t>2</w:t>
            </w:r>
          </w:p>
        </w:tc>
        <w:tc>
          <w:tcPr>
            <w:tcW w:w="985" w:type="dxa"/>
          </w:tcPr>
          <w:p w:rsidR="00155EA0" w:rsidRDefault="00155EA0">
            <w:pPr>
              <w:autoSpaceDE w:val="0"/>
              <w:autoSpaceDN w:val="0"/>
              <w:snapToGrid w:val="0"/>
              <w:spacing w:line="288" w:lineRule="auto"/>
              <w:ind w:firstLineChars="0" w:firstLine="0"/>
              <w:jc w:val="center"/>
              <w:rPr>
                <w:rFonts w:ascii="Calibri"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hint="eastAsia"/>
                <w:snapToGrid w:val="0"/>
                <w:kern w:val="0"/>
                <w:sz w:val="24"/>
              </w:rPr>
              <w:t>1</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制定原则及工作要点</w:t>
            </w:r>
          </w:p>
        </w:tc>
        <w:tc>
          <w:tcPr>
            <w:tcW w:w="986"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hint="eastAsia"/>
                <w:snapToGrid w:val="0"/>
                <w:kern w:val="0"/>
                <w:sz w:val="24"/>
              </w:rPr>
              <w:t>2</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立项申请、立项论证</w:t>
            </w:r>
          </w:p>
        </w:tc>
        <w:tc>
          <w:tcPr>
            <w:tcW w:w="986"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3</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审核讨论后形成标准草案</w:t>
            </w:r>
          </w:p>
        </w:tc>
        <w:tc>
          <w:tcPr>
            <w:tcW w:w="986" w:type="dxa"/>
            <w:shd w:val="clear" w:color="auto" w:fill="FFFFFF"/>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2</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分发标准征求意见稿、意见处理</w:t>
            </w:r>
          </w:p>
        </w:tc>
        <w:tc>
          <w:tcPr>
            <w:tcW w:w="986"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FFFFFF"/>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yellow"/>
              </w:rPr>
            </w:pPr>
          </w:p>
        </w:tc>
        <w:tc>
          <w:tcPr>
            <w:tcW w:w="851"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highlight w:val="yellow"/>
              </w:rPr>
            </w:pPr>
          </w:p>
        </w:tc>
        <w:tc>
          <w:tcPr>
            <w:tcW w:w="850"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3</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组织内审形成结论并形成意见稿和送审稿送主管部门审查</w:t>
            </w:r>
          </w:p>
        </w:tc>
        <w:tc>
          <w:tcPr>
            <w:tcW w:w="986"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4</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印刷送主管部门</w:t>
            </w:r>
            <w:r>
              <w:rPr>
                <w:rFonts w:ascii="楷体_GB2312" w:eastAsia="楷体_GB2312" w:hAnsi="Calibri"/>
                <w:snapToGrid w:val="0"/>
                <w:kern w:val="0"/>
                <w:sz w:val="24"/>
                <w:lang w:eastAsia="zh-Hans"/>
              </w:rPr>
              <w:t>，主管部门进行复审</w:t>
            </w:r>
          </w:p>
        </w:tc>
        <w:tc>
          <w:tcPr>
            <w:tcW w:w="986"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BDD6EE"/>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rsidR="00155EA0" w:rsidRDefault="00155EA0">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trPr>
          <w:trHeight w:val="771"/>
        </w:trPr>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snapToGrid w:val="0"/>
                <w:kern w:val="0"/>
                <w:sz w:val="24"/>
              </w:rPr>
              <w:t>5</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标准发布</w:t>
            </w:r>
          </w:p>
        </w:tc>
        <w:tc>
          <w:tcPr>
            <w:tcW w:w="986"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7"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0"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985" w:type="dxa"/>
            <w:shd w:val="clear" w:color="auto" w:fill="BDD6EE"/>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985" w:type="dxa"/>
            <w:shd w:val="clear" w:color="auto" w:fill="FFFFFF"/>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r>
      <w:tr w:rsidR="00155EA0">
        <w:tc>
          <w:tcPr>
            <w:tcW w:w="458" w:type="dxa"/>
            <w:shd w:val="clear" w:color="auto" w:fill="auto"/>
            <w:vAlign w:val="center"/>
          </w:tcPr>
          <w:p w:rsidR="00155EA0" w:rsidRDefault="009549C5">
            <w:pPr>
              <w:autoSpaceDE w:val="0"/>
              <w:autoSpaceDN w:val="0"/>
              <w:snapToGrid w:val="0"/>
              <w:spacing w:line="288" w:lineRule="auto"/>
              <w:ind w:firstLineChars="0" w:firstLine="0"/>
              <w:jc w:val="center"/>
              <w:rPr>
                <w:rFonts w:ascii="Calibri" w:eastAsia="楷体_GB2312" w:hAnsi="Calibri"/>
                <w:snapToGrid w:val="0"/>
                <w:kern w:val="0"/>
                <w:sz w:val="24"/>
              </w:rPr>
            </w:pPr>
            <w:r>
              <w:rPr>
                <w:rFonts w:ascii="Calibri" w:eastAsia="楷体_GB2312" w:hAnsi="Calibri" w:hint="eastAsia"/>
                <w:snapToGrid w:val="0"/>
                <w:kern w:val="0"/>
                <w:sz w:val="24"/>
              </w:rPr>
              <w:t>6</w:t>
            </w:r>
            <w:r>
              <w:rPr>
                <w:rFonts w:ascii="Calibri" w:eastAsia="楷体_GB2312" w:hAnsi="Calibri"/>
                <w:snapToGrid w:val="0"/>
                <w:kern w:val="0"/>
                <w:sz w:val="24"/>
              </w:rPr>
              <w:t xml:space="preserve">  </w:t>
            </w:r>
          </w:p>
        </w:tc>
        <w:tc>
          <w:tcPr>
            <w:tcW w:w="1842" w:type="dxa"/>
            <w:shd w:val="clear" w:color="auto" w:fill="auto"/>
            <w:vAlign w:val="center"/>
          </w:tcPr>
          <w:p w:rsidR="00155EA0" w:rsidRDefault="009549C5">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标准宣贯，标准</w:t>
            </w:r>
            <w:r>
              <w:rPr>
                <w:rFonts w:ascii="楷体_GB2312" w:eastAsia="楷体_GB2312" w:hAnsi="Calibri" w:hint="eastAsia"/>
                <w:snapToGrid w:val="0"/>
                <w:kern w:val="0"/>
                <w:sz w:val="24"/>
                <w:lang w:eastAsia="zh-Hans"/>
              </w:rPr>
              <w:lastRenderedPageBreak/>
              <w:t>沙龙、研讨会</w:t>
            </w:r>
          </w:p>
        </w:tc>
        <w:tc>
          <w:tcPr>
            <w:tcW w:w="986"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7"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0"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851" w:type="dxa"/>
            <w:shd w:val="clear" w:color="auto" w:fill="auto"/>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985" w:type="dxa"/>
            <w:shd w:val="clear" w:color="auto" w:fill="FFFFFF"/>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c>
          <w:tcPr>
            <w:tcW w:w="985" w:type="dxa"/>
            <w:shd w:val="clear" w:color="auto" w:fill="BDD6EE"/>
          </w:tcPr>
          <w:p w:rsidR="00155EA0" w:rsidRDefault="00155EA0">
            <w:pPr>
              <w:autoSpaceDE w:val="0"/>
              <w:autoSpaceDN w:val="0"/>
              <w:snapToGrid w:val="0"/>
              <w:spacing w:line="288" w:lineRule="auto"/>
              <w:ind w:firstLineChars="0" w:firstLine="624"/>
              <w:jc w:val="center"/>
              <w:rPr>
                <w:rFonts w:ascii="楷体_GB2312" w:eastAsia="楷体_GB2312" w:hAnsi="Calibri"/>
                <w:snapToGrid w:val="0"/>
                <w:kern w:val="0"/>
                <w:sz w:val="24"/>
              </w:rPr>
            </w:pPr>
          </w:p>
        </w:tc>
      </w:tr>
    </w:tbl>
    <w:p w:rsidR="00155EA0" w:rsidRDefault="00155EA0">
      <w:pPr>
        <w:ind w:firstLineChars="0" w:firstLine="0"/>
        <w:rPr>
          <w:rFonts w:ascii="宋体" w:hAnsi="宋体"/>
        </w:rPr>
      </w:pPr>
    </w:p>
    <w:sectPr w:rsidR="00155EA0">
      <w:footerReference w:type="default" r:id="rId1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3CB" w:rsidRDefault="00F873CB">
      <w:pPr>
        <w:spacing w:line="240" w:lineRule="auto"/>
        <w:ind w:firstLine="560"/>
      </w:pPr>
      <w:r>
        <w:separator/>
      </w:r>
    </w:p>
  </w:endnote>
  <w:endnote w:type="continuationSeparator" w:id="0">
    <w:p w:rsidR="00F873CB" w:rsidRDefault="00F873C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9549C5">
    <w:pPr>
      <w:pStyle w:val="affc"/>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55EA0" w:rsidRDefault="009549C5">
                          <w:pPr>
                            <w:pStyle w:val="affc"/>
                          </w:pPr>
                          <w:r>
                            <w:fldChar w:fldCharType="begin"/>
                          </w:r>
                          <w:r>
                            <w:instrText xml:space="preserve"> PAGE  \* MERGEFORMAT </w:instrText>
                          </w:r>
                          <w:r>
                            <w:fldChar w:fldCharType="separate"/>
                          </w:r>
                          <w:r>
                            <w:t>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DSauIPrAEAAD8DAAAOAAAAAAAAAAAAAAAAAC4CAABkcnMvZTJvRG9jLnhtbFBLAQItABQABgAI&#10;AAAAIQAMSvDu1gAAAAUBAAAPAAAAAAAAAAAAAAAAAAYEAABkcnMvZG93bnJldi54bWxQSwUGAAAA&#10;AAQABADzAAAACQUAAAAA&#10;" filled="f" stroked="f">
              <v:textbox style="mso-fit-shape-to-text:t" inset="0,0,0,0">
                <w:txbxContent>
                  <w:p w:rsidR="00155EA0" w:rsidRDefault="009549C5">
                    <w:pPr>
                      <w:pStyle w:val="affc"/>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3CB" w:rsidRDefault="00F873CB">
      <w:pPr>
        <w:ind w:firstLine="560"/>
      </w:pPr>
      <w:r>
        <w:separator/>
      </w:r>
    </w:p>
  </w:footnote>
  <w:footnote w:type="continuationSeparator" w:id="0">
    <w:p w:rsidR="00F873CB" w:rsidRDefault="00F873CB">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e"/>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EA0" w:rsidRDefault="00155EA0">
    <w:pPr>
      <w:pStyle w:val="aff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323" w:hanging="181"/>
      </w:pPr>
      <w:rPr>
        <w:rFonts w:ascii="宋体" w:eastAsia="宋体" w:hint="eastAsia"/>
        <w:b w:val="0"/>
        <w:i w:val="0"/>
        <w:sz w:val="18"/>
        <w:vertAlign w:val="superscript"/>
      </w:rPr>
    </w:lvl>
    <w:lvl w:ilvl="1">
      <w:start w:val="1"/>
      <w:numFmt w:val="lowerLetter"/>
      <w:lvlText w:val="%2"/>
      <w:lvlJc w:val="left"/>
      <w:pPr>
        <w:tabs>
          <w:tab w:val="left" w:pos="-164"/>
        </w:tabs>
        <w:ind w:left="142" w:hanging="363"/>
      </w:pPr>
      <w:rPr>
        <w:rFonts w:hint="eastAsia"/>
      </w:rPr>
    </w:lvl>
    <w:lvl w:ilvl="2">
      <w:start w:val="1"/>
      <w:numFmt w:val="lowerRoman"/>
      <w:lvlText w:val="%3."/>
      <w:lvlJc w:val="right"/>
      <w:pPr>
        <w:tabs>
          <w:tab w:val="left" w:pos="-164"/>
        </w:tabs>
        <w:ind w:left="142" w:hanging="363"/>
      </w:pPr>
      <w:rPr>
        <w:rFonts w:hint="eastAsia"/>
      </w:rPr>
    </w:lvl>
    <w:lvl w:ilvl="3">
      <w:start w:val="1"/>
      <w:numFmt w:val="decimal"/>
      <w:lvlText w:val="%4."/>
      <w:lvlJc w:val="left"/>
      <w:pPr>
        <w:tabs>
          <w:tab w:val="left" w:pos="-164"/>
        </w:tabs>
        <w:ind w:left="142" w:hanging="363"/>
      </w:pPr>
      <w:rPr>
        <w:rFonts w:hint="eastAsia"/>
      </w:rPr>
    </w:lvl>
    <w:lvl w:ilvl="4">
      <w:start w:val="1"/>
      <w:numFmt w:val="lowerLetter"/>
      <w:lvlText w:val="%5)"/>
      <w:lvlJc w:val="left"/>
      <w:pPr>
        <w:tabs>
          <w:tab w:val="left" w:pos="-164"/>
        </w:tabs>
        <w:ind w:left="142" w:hanging="363"/>
      </w:pPr>
      <w:rPr>
        <w:rFonts w:hint="eastAsia"/>
      </w:rPr>
    </w:lvl>
    <w:lvl w:ilvl="5">
      <w:start w:val="1"/>
      <w:numFmt w:val="lowerRoman"/>
      <w:lvlText w:val="%6."/>
      <w:lvlJc w:val="right"/>
      <w:pPr>
        <w:tabs>
          <w:tab w:val="left" w:pos="-164"/>
        </w:tabs>
        <w:ind w:left="142" w:hanging="363"/>
      </w:pPr>
      <w:rPr>
        <w:rFonts w:hint="eastAsia"/>
      </w:rPr>
    </w:lvl>
    <w:lvl w:ilvl="6">
      <w:start w:val="1"/>
      <w:numFmt w:val="decimal"/>
      <w:lvlText w:val="%7."/>
      <w:lvlJc w:val="left"/>
      <w:pPr>
        <w:tabs>
          <w:tab w:val="left" w:pos="-164"/>
        </w:tabs>
        <w:ind w:left="142" w:hanging="363"/>
      </w:pPr>
      <w:rPr>
        <w:rFonts w:hint="eastAsia"/>
      </w:rPr>
    </w:lvl>
    <w:lvl w:ilvl="7">
      <w:start w:val="1"/>
      <w:numFmt w:val="lowerLetter"/>
      <w:lvlText w:val="%8)"/>
      <w:lvlJc w:val="left"/>
      <w:pPr>
        <w:tabs>
          <w:tab w:val="left" w:pos="-164"/>
        </w:tabs>
        <w:ind w:left="142" w:hanging="363"/>
      </w:pPr>
      <w:rPr>
        <w:rFonts w:hint="eastAsia"/>
      </w:rPr>
    </w:lvl>
    <w:lvl w:ilvl="8">
      <w:start w:val="1"/>
      <w:numFmt w:val="lowerRoman"/>
      <w:lvlText w:val="%9."/>
      <w:lvlJc w:val="right"/>
      <w:pPr>
        <w:tabs>
          <w:tab w:val="left" w:pos="-164"/>
        </w:tabs>
        <w:ind w:left="142"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5DDED3A"/>
    <w:multiLevelType w:val="singleLevel"/>
    <w:tmpl w:val="35DDED3A"/>
    <w:lvl w:ilvl="0">
      <w:start w:val="6"/>
      <w:numFmt w:val="decimal"/>
      <w:suff w:val="space"/>
      <w:lvlText w:val="%1."/>
      <w:lvlJc w:val="left"/>
    </w:lvl>
  </w:abstractNum>
  <w:abstractNum w:abstractNumId="10"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62" w:firstLine="363"/>
      </w:pPr>
      <w:rPr>
        <w:rFonts w:ascii="黑体" w:eastAsia="黑体" w:hAnsi="Times New Roman" w:hint="eastAsia"/>
        <w:b w:val="0"/>
        <w:i w:val="0"/>
        <w:sz w:val="18"/>
        <w:szCs w:val="18"/>
        <w:vertAlign w:val="baseline"/>
      </w:rPr>
    </w:lvl>
    <w:lvl w:ilvl="1">
      <w:start w:val="1"/>
      <w:numFmt w:val="none"/>
      <w:suff w:val="space"/>
      <w:lvlText w:val=""/>
      <w:lvlJc w:val="left"/>
      <w:pPr>
        <w:ind w:left="62" w:firstLine="0"/>
      </w:pPr>
      <w:rPr>
        <w:rFonts w:hint="eastAsia"/>
        <w:vertAlign w:val="baseline"/>
      </w:rPr>
    </w:lvl>
    <w:lvl w:ilvl="2">
      <w:start w:val="1"/>
      <w:numFmt w:val="decimal"/>
      <w:suff w:val="space"/>
      <w:lvlText w:val="2.2.%3"/>
      <w:lvlJc w:val="left"/>
      <w:pPr>
        <w:ind w:left="62" w:firstLine="0"/>
      </w:pPr>
      <w:rPr>
        <w:rFonts w:hint="eastAsia"/>
        <w:vertAlign w:val="baseline"/>
      </w:rPr>
    </w:lvl>
    <w:lvl w:ilvl="3">
      <w:start w:val="1"/>
      <w:numFmt w:val="decimal"/>
      <w:lvlText w:val="%4."/>
      <w:lvlJc w:val="left"/>
      <w:pPr>
        <w:tabs>
          <w:tab w:val="left" w:pos="62"/>
        </w:tabs>
        <w:ind w:left="1054" w:hanging="629"/>
      </w:pPr>
      <w:rPr>
        <w:rFonts w:hint="eastAsia"/>
        <w:vertAlign w:val="baseline"/>
      </w:rPr>
    </w:lvl>
    <w:lvl w:ilvl="4">
      <w:start w:val="1"/>
      <w:numFmt w:val="lowerLetter"/>
      <w:lvlText w:val="%5)"/>
      <w:lvlJc w:val="left"/>
      <w:pPr>
        <w:tabs>
          <w:tab w:val="left" w:pos="62"/>
        </w:tabs>
        <w:ind w:left="1054" w:hanging="629"/>
      </w:pPr>
      <w:rPr>
        <w:rFonts w:hint="eastAsia"/>
        <w:vertAlign w:val="baseline"/>
      </w:rPr>
    </w:lvl>
    <w:lvl w:ilvl="5">
      <w:start w:val="1"/>
      <w:numFmt w:val="lowerRoman"/>
      <w:lvlText w:val="%6."/>
      <w:lvlJc w:val="right"/>
      <w:pPr>
        <w:tabs>
          <w:tab w:val="left" w:pos="62"/>
        </w:tabs>
        <w:ind w:left="1054" w:hanging="629"/>
      </w:pPr>
      <w:rPr>
        <w:rFonts w:hint="eastAsia"/>
        <w:vertAlign w:val="baseline"/>
      </w:rPr>
    </w:lvl>
    <w:lvl w:ilvl="6">
      <w:start w:val="1"/>
      <w:numFmt w:val="decimal"/>
      <w:lvlText w:val="%7."/>
      <w:lvlJc w:val="left"/>
      <w:pPr>
        <w:tabs>
          <w:tab w:val="left" w:pos="62"/>
        </w:tabs>
        <w:ind w:left="1054" w:hanging="629"/>
      </w:pPr>
      <w:rPr>
        <w:rFonts w:hint="eastAsia"/>
        <w:vertAlign w:val="baseline"/>
      </w:rPr>
    </w:lvl>
    <w:lvl w:ilvl="7">
      <w:start w:val="1"/>
      <w:numFmt w:val="lowerLetter"/>
      <w:lvlText w:val="%8)"/>
      <w:lvlJc w:val="left"/>
      <w:pPr>
        <w:tabs>
          <w:tab w:val="left" w:pos="62"/>
        </w:tabs>
        <w:ind w:left="1054" w:hanging="629"/>
      </w:pPr>
      <w:rPr>
        <w:rFonts w:hint="eastAsia"/>
        <w:vertAlign w:val="baseline"/>
      </w:rPr>
    </w:lvl>
    <w:lvl w:ilvl="8">
      <w:start w:val="1"/>
      <w:numFmt w:val="lowerRoman"/>
      <w:lvlText w:val="%9."/>
      <w:lvlJc w:val="right"/>
      <w:pPr>
        <w:tabs>
          <w:tab w:val="left" w:pos="62"/>
        </w:tabs>
        <w:ind w:left="1054" w:hanging="629"/>
      </w:pPr>
      <w:rPr>
        <w:rFonts w:hint="eastAsia"/>
        <w:vertAlign w:val="baseline"/>
      </w:rPr>
    </w:lvl>
  </w:abstractNum>
  <w:abstractNum w:abstractNumId="13" w15:restartNumberingAfterBreak="0">
    <w:nsid w:val="4B890419"/>
    <w:multiLevelType w:val="multilevel"/>
    <w:tmpl w:val="4B8904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B34B5B"/>
    <w:multiLevelType w:val="multilevel"/>
    <w:tmpl w:val="4BB34B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0E24F8"/>
    <w:multiLevelType w:val="multilevel"/>
    <w:tmpl w:val="520E24F8"/>
    <w:lvl w:ilvl="0">
      <w:start w:val="1"/>
      <w:numFmt w:val="bullet"/>
      <w:lvlText w:val=""/>
      <w:lvlJc w:val="left"/>
      <w:pPr>
        <w:ind w:left="890" w:hanging="420"/>
      </w:pPr>
      <w:rPr>
        <w:rFonts w:ascii="Wingdings" w:hAnsi="Wingdings" w:hint="default"/>
      </w:rPr>
    </w:lvl>
    <w:lvl w:ilvl="1">
      <w:start w:val="1"/>
      <w:numFmt w:val="bullet"/>
      <w:lvlText w:val=""/>
      <w:lvlJc w:val="left"/>
      <w:pPr>
        <w:ind w:left="1310" w:hanging="420"/>
      </w:pPr>
      <w:rPr>
        <w:rFonts w:ascii="Wingdings" w:hAnsi="Wingdings" w:hint="default"/>
      </w:rPr>
    </w:lvl>
    <w:lvl w:ilvl="2">
      <w:start w:val="1"/>
      <w:numFmt w:val="bullet"/>
      <w:lvlText w:val=""/>
      <w:lvlJc w:val="left"/>
      <w:pPr>
        <w:ind w:left="1730" w:hanging="420"/>
      </w:pPr>
      <w:rPr>
        <w:rFonts w:ascii="Wingdings" w:hAnsi="Wingdings" w:hint="default"/>
      </w:rPr>
    </w:lvl>
    <w:lvl w:ilvl="3">
      <w:start w:val="1"/>
      <w:numFmt w:val="bullet"/>
      <w:lvlText w:val=""/>
      <w:lvlJc w:val="left"/>
      <w:pPr>
        <w:ind w:left="2150" w:hanging="420"/>
      </w:pPr>
      <w:rPr>
        <w:rFonts w:ascii="Wingdings" w:hAnsi="Wingdings" w:hint="default"/>
      </w:rPr>
    </w:lvl>
    <w:lvl w:ilvl="4">
      <w:start w:val="1"/>
      <w:numFmt w:val="bullet"/>
      <w:lvlText w:val=""/>
      <w:lvlJc w:val="left"/>
      <w:pPr>
        <w:ind w:left="2570" w:hanging="420"/>
      </w:pPr>
      <w:rPr>
        <w:rFonts w:ascii="Wingdings" w:hAnsi="Wingdings" w:hint="default"/>
      </w:rPr>
    </w:lvl>
    <w:lvl w:ilvl="5">
      <w:start w:val="1"/>
      <w:numFmt w:val="bullet"/>
      <w:lvlText w:val=""/>
      <w:lvlJc w:val="left"/>
      <w:pPr>
        <w:ind w:left="2990" w:hanging="420"/>
      </w:pPr>
      <w:rPr>
        <w:rFonts w:ascii="Wingdings" w:hAnsi="Wingdings" w:hint="default"/>
      </w:rPr>
    </w:lvl>
    <w:lvl w:ilvl="6">
      <w:start w:val="1"/>
      <w:numFmt w:val="bullet"/>
      <w:lvlText w:val=""/>
      <w:lvlJc w:val="left"/>
      <w:pPr>
        <w:ind w:left="3410" w:hanging="420"/>
      </w:pPr>
      <w:rPr>
        <w:rFonts w:ascii="Wingdings" w:hAnsi="Wingdings" w:hint="default"/>
      </w:rPr>
    </w:lvl>
    <w:lvl w:ilvl="7">
      <w:start w:val="1"/>
      <w:numFmt w:val="bullet"/>
      <w:lvlText w:val=""/>
      <w:lvlJc w:val="left"/>
      <w:pPr>
        <w:ind w:left="3830" w:hanging="420"/>
      </w:pPr>
      <w:rPr>
        <w:rFonts w:ascii="Wingdings" w:hAnsi="Wingdings" w:hint="default"/>
      </w:rPr>
    </w:lvl>
    <w:lvl w:ilvl="8">
      <w:start w:val="1"/>
      <w:numFmt w:val="bullet"/>
      <w:lvlText w:val=""/>
      <w:lvlJc w:val="left"/>
      <w:pPr>
        <w:ind w:left="4250" w:hanging="420"/>
      </w:pPr>
      <w:rPr>
        <w:rFonts w:ascii="Wingdings" w:hAnsi="Wingdings" w:hint="default"/>
      </w:rPr>
    </w:lvl>
  </w:abstractNum>
  <w:abstractNum w:abstractNumId="16"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D6C07CD"/>
    <w:multiLevelType w:val="multilevel"/>
    <w:tmpl w:val="6D6C07CD"/>
    <w:lvl w:ilvl="0">
      <w:start w:val="1"/>
      <w:numFmt w:val="lowerLetter"/>
      <w:pStyle w:val="afa"/>
      <w:lvlText w:val="%1)"/>
      <w:lvlJc w:val="left"/>
      <w:pPr>
        <w:tabs>
          <w:tab w:val="left" w:pos="839"/>
        </w:tabs>
        <w:ind w:left="839" w:hanging="419"/>
      </w:pPr>
      <w:rPr>
        <w:rFonts w:ascii="宋体" w:eastAsia="宋体" w:hint="eastAsia"/>
        <w:b w:val="0"/>
        <w:i w:val="0"/>
        <w:sz w:val="21"/>
      </w:rPr>
    </w:lvl>
    <w:lvl w:ilvl="1">
      <w:start w:val="1"/>
      <w:numFmt w:val="decimal"/>
      <w:pStyle w:val="afb"/>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1"/>
  </w:num>
  <w:num w:numId="3">
    <w:abstractNumId w:val="6"/>
  </w:num>
  <w:num w:numId="4">
    <w:abstractNumId w:val="5"/>
  </w:num>
  <w:num w:numId="5">
    <w:abstractNumId w:val="18"/>
  </w:num>
  <w:num w:numId="6">
    <w:abstractNumId w:val="12"/>
  </w:num>
  <w:num w:numId="7">
    <w:abstractNumId w:val="19"/>
  </w:num>
  <w:num w:numId="8">
    <w:abstractNumId w:val="7"/>
  </w:num>
  <w:num w:numId="9">
    <w:abstractNumId w:val="8"/>
  </w:num>
  <w:num w:numId="10">
    <w:abstractNumId w:val="17"/>
  </w:num>
  <w:num w:numId="11">
    <w:abstractNumId w:val="4"/>
  </w:num>
  <w:num w:numId="12">
    <w:abstractNumId w:val="20"/>
  </w:num>
  <w:num w:numId="13">
    <w:abstractNumId w:val="3"/>
  </w:num>
  <w:num w:numId="14">
    <w:abstractNumId w:val="0"/>
  </w:num>
  <w:num w:numId="15">
    <w:abstractNumId w:val="11"/>
  </w:num>
  <w:num w:numId="16">
    <w:abstractNumId w:val="16"/>
  </w:num>
  <w:num w:numId="17">
    <w:abstractNumId w:val="2"/>
  </w:num>
  <w:num w:numId="18">
    <w:abstractNumId w:val="13"/>
  </w:num>
  <w:num w:numId="19">
    <w:abstractNumId w:val="14"/>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VkMGExMTM1YzdkNzcxNzkyYjZmNWZhMmU1MmFiYzIifQ=="/>
  </w:docVars>
  <w:rsids>
    <w:rsidRoot w:val="00146108"/>
    <w:rsid w:val="00002C83"/>
    <w:rsid w:val="000079A5"/>
    <w:rsid w:val="0001147A"/>
    <w:rsid w:val="00021F9A"/>
    <w:rsid w:val="00023CBA"/>
    <w:rsid w:val="00025FD4"/>
    <w:rsid w:val="000348AA"/>
    <w:rsid w:val="0003770A"/>
    <w:rsid w:val="00047DA2"/>
    <w:rsid w:val="00054329"/>
    <w:rsid w:val="00063CE8"/>
    <w:rsid w:val="00082FD4"/>
    <w:rsid w:val="00085989"/>
    <w:rsid w:val="00090610"/>
    <w:rsid w:val="000A1434"/>
    <w:rsid w:val="000B0B3B"/>
    <w:rsid w:val="000D1F67"/>
    <w:rsid w:val="000E45D2"/>
    <w:rsid w:val="00101718"/>
    <w:rsid w:val="0012398D"/>
    <w:rsid w:val="0014059C"/>
    <w:rsid w:val="00146108"/>
    <w:rsid w:val="001524C1"/>
    <w:rsid w:val="00155EA0"/>
    <w:rsid w:val="00156BB0"/>
    <w:rsid w:val="00157BE5"/>
    <w:rsid w:val="00176F64"/>
    <w:rsid w:val="00183D57"/>
    <w:rsid w:val="0018706C"/>
    <w:rsid w:val="001B1620"/>
    <w:rsid w:val="001B36F1"/>
    <w:rsid w:val="001B407C"/>
    <w:rsid w:val="001D0B69"/>
    <w:rsid w:val="001F2374"/>
    <w:rsid w:val="00201FA6"/>
    <w:rsid w:val="0020283F"/>
    <w:rsid w:val="00204422"/>
    <w:rsid w:val="00235A39"/>
    <w:rsid w:val="0024797B"/>
    <w:rsid w:val="0025180E"/>
    <w:rsid w:val="00261CDF"/>
    <w:rsid w:val="002640A9"/>
    <w:rsid w:val="00270554"/>
    <w:rsid w:val="002755D1"/>
    <w:rsid w:val="0028095C"/>
    <w:rsid w:val="00287C1E"/>
    <w:rsid w:val="0029613C"/>
    <w:rsid w:val="002A17B8"/>
    <w:rsid w:val="002A5707"/>
    <w:rsid w:val="002C2BC7"/>
    <w:rsid w:val="002C599B"/>
    <w:rsid w:val="002D1337"/>
    <w:rsid w:val="002D3D37"/>
    <w:rsid w:val="002E5761"/>
    <w:rsid w:val="002F0BFB"/>
    <w:rsid w:val="002F493E"/>
    <w:rsid w:val="002F77BA"/>
    <w:rsid w:val="00307F78"/>
    <w:rsid w:val="00307FC0"/>
    <w:rsid w:val="00314900"/>
    <w:rsid w:val="003151D9"/>
    <w:rsid w:val="00334A5E"/>
    <w:rsid w:val="003517FF"/>
    <w:rsid w:val="003738E9"/>
    <w:rsid w:val="00375087"/>
    <w:rsid w:val="003801D4"/>
    <w:rsid w:val="00396B0F"/>
    <w:rsid w:val="003B0B72"/>
    <w:rsid w:val="003B3D3B"/>
    <w:rsid w:val="003B7F0B"/>
    <w:rsid w:val="003C171E"/>
    <w:rsid w:val="003C4C43"/>
    <w:rsid w:val="003D3E99"/>
    <w:rsid w:val="003D5D43"/>
    <w:rsid w:val="003E2B28"/>
    <w:rsid w:val="003E4794"/>
    <w:rsid w:val="003E7CCC"/>
    <w:rsid w:val="003F1650"/>
    <w:rsid w:val="00400A12"/>
    <w:rsid w:val="00415534"/>
    <w:rsid w:val="004212B6"/>
    <w:rsid w:val="004446A2"/>
    <w:rsid w:val="0045766E"/>
    <w:rsid w:val="00462435"/>
    <w:rsid w:val="00486D06"/>
    <w:rsid w:val="004A0B91"/>
    <w:rsid w:val="004A1CDE"/>
    <w:rsid w:val="004B589F"/>
    <w:rsid w:val="004D03BF"/>
    <w:rsid w:val="004D288F"/>
    <w:rsid w:val="004D5621"/>
    <w:rsid w:val="004D72B3"/>
    <w:rsid w:val="004E12CE"/>
    <w:rsid w:val="004E44EC"/>
    <w:rsid w:val="004E684F"/>
    <w:rsid w:val="004F222C"/>
    <w:rsid w:val="004F6FDC"/>
    <w:rsid w:val="005005AB"/>
    <w:rsid w:val="00507D01"/>
    <w:rsid w:val="005124A1"/>
    <w:rsid w:val="00515047"/>
    <w:rsid w:val="0051688E"/>
    <w:rsid w:val="0052172B"/>
    <w:rsid w:val="0052241F"/>
    <w:rsid w:val="0053795F"/>
    <w:rsid w:val="0055025D"/>
    <w:rsid w:val="00555468"/>
    <w:rsid w:val="00575FAC"/>
    <w:rsid w:val="00580114"/>
    <w:rsid w:val="00580523"/>
    <w:rsid w:val="00583D3F"/>
    <w:rsid w:val="0058755E"/>
    <w:rsid w:val="00590834"/>
    <w:rsid w:val="00590AF8"/>
    <w:rsid w:val="005943A7"/>
    <w:rsid w:val="005A23A2"/>
    <w:rsid w:val="005B6268"/>
    <w:rsid w:val="005C79C7"/>
    <w:rsid w:val="005E6B76"/>
    <w:rsid w:val="006073EB"/>
    <w:rsid w:val="006275C6"/>
    <w:rsid w:val="0063065A"/>
    <w:rsid w:val="00681241"/>
    <w:rsid w:val="0069032A"/>
    <w:rsid w:val="00692737"/>
    <w:rsid w:val="006B2EF1"/>
    <w:rsid w:val="006C4264"/>
    <w:rsid w:val="006E16B0"/>
    <w:rsid w:val="006E3D66"/>
    <w:rsid w:val="00700A75"/>
    <w:rsid w:val="007045AD"/>
    <w:rsid w:val="007076F9"/>
    <w:rsid w:val="0072068A"/>
    <w:rsid w:val="00721090"/>
    <w:rsid w:val="0072123F"/>
    <w:rsid w:val="00745BA0"/>
    <w:rsid w:val="007557DC"/>
    <w:rsid w:val="00770B0B"/>
    <w:rsid w:val="00771571"/>
    <w:rsid w:val="007811EC"/>
    <w:rsid w:val="0078749B"/>
    <w:rsid w:val="007913D1"/>
    <w:rsid w:val="007A6E4B"/>
    <w:rsid w:val="007C3719"/>
    <w:rsid w:val="007D3217"/>
    <w:rsid w:val="007E6415"/>
    <w:rsid w:val="00854094"/>
    <w:rsid w:val="00872AFA"/>
    <w:rsid w:val="00877F3D"/>
    <w:rsid w:val="00890506"/>
    <w:rsid w:val="008C4CC2"/>
    <w:rsid w:val="008D2191"/>
    <w:rsid w:val="008D53CC"/>
    <w:rsid w:val="008D543A"/>
    <w:rsid w:val="008D6785"/>
    <w:rsid w:val="00907CC4"/>
    <w:rsid w:val="00911882"/>
    <w:rsid w:val="00925E24"/>
    <w:rsid w:val="009275AB"/>
    <w:rsid w:val="009453C1"/>
    <w:rsid w:val="009549C5"/>
    <w:rsid w:val="00986394"/>
    <w:rsid w:val="00993A3B"/>
    <w:rsid w:val="009968AD"/>
    <w:rsid w:val="009A5F1F"/>
    <w:rsid w:val="009B0B6D"/>
    <w:rsid w:val="009B54F2"/>
    <w:rsid w:val="009C1490"/>
    <w:rsid w:val="009C717C"/>
    <w:rsid w:val="009D0C40"/>
    <w:rsid w:val="009D7A99"/>
    <w:rsid w:val="009F6B44"/>
    <w:rsid w:val="00A04335"/>
    <w:rsid w:val="00A10E7F"/>
    <w:rsid w:val="00A15C1A"/>
    <w:rsid w:val="00A31DFC"/>
    <w:rsid w:val="00A41388"/>
    <w:rsid w:val="00A561C8"/>
    <w:rsid w:val="00A74163"/>
    <w:rsid w:val="00A75CE0"/>
    <w:rsid w:val="00A766FC"/>
    <w:rsid w:val="00A77752"/>
    <w:rsid w:val="00AB1CF4"/>
    <w:rsid w:val="00AD21CD"/>
    <w:rsid w:val="00AD3F7F"/>
    <w:rsid w:val="00AF4A16"/>
    <w:rsid w:val="00B019D4"/>
    <w:rsid w:val="00B06D49"/>
    <w:rsid w:val="00B07763"/>
    <w:rsid w:val="00B101A3"/>
    <w:rsid w:val="00B216C6"/>
    <w:rsid w:val="00B27693"/>
    <w:rsid w:val="00B5238A"/>
    <w:rsid w:val="00B608BF"/>
    <w:rsid w:val="00B60C74"/>
    <w:rsid w:val="00B62B4F"/>
    <w:rsid w:val="00B740DA"/>
    <w:rsid w:val="00B818F6"/>
    <w:rsid w:val="00B830B0"/>
    <w:rsid w:val="00B83D26"/>
    <w:rsid w:val="00B8418B"/>
    <w:rsid w:val="00BA18FE"/>
    <w:rsid w:val="00BA79CC"/>
    <w:rsid w:val="00BB21B8"/>
    <w:rsid w:val="00BB4FAF"/>
    <w:rsid w:val="00BD0647"/>
    <w:rsid w:val="00BD73F5"/>
    <w:rsid w:val="00BE1E80"/>
    <w:rsid w:val="00C02CFD"/>
    <w:rsid w:val="00C13BF8"/>
    <w:rsid w:val="00C13F6B"/>
    <w:rsid w:val="00C14294"/>
    <w:rsid w:val="00C250D0"/>
    <w:rsid w:val="00C33518"/>
    <w:rsid w:val="00C40AF7"/>
    <w:rsid w:val="00C421BB"/>
    <w:rsid w:val="00C65CE1"/>
    <w:rsid w:val="00C722AF"/>
    <w:rsid w:val="00C76F65"/>
    <w:rsid w:val="00C86892"/>
    <w:rsid w:val="00C9632E"/>
    <w:rsid w:val="00CA6322"/>
    <w:rsid w:val="00CB1EA9"/>
    <w:rsid w:val="00CB2375"/>
    <w:rsid w:val="00CB361D"/>
    <w:rsid w:val="00CD7C2E"/>
    <w:rsid w:val="00CE532F"/>
    <w:rsid w:val="00CF0D98"/>
    <w:rsid w:val="00CF1666"/>
    <w:rsid w:val="00D0352E"/>
    <w:rsid w:val="00D06E6B"/>
    <w:rsid w:val="00D24A87"/>
    <w:rsid w:val="00D42A17"/>
    <w:rsid w:val="00D61DB0"/>
    <w:rsid w:val="00D632B3"/>
    <w:rsid w:val="00D67120"/>
    <w:rsid w:val="00D67D2C"/>
    <w:rsid w:val="00D76BF7"/>
    <w:rsid w:val="00D805A4"/>
    <w:rsid w:val="00D8724A"/>
    <w:rsid w:val="00D90C32"/>
    <w:rsid w:val="00DA616A"/>
    <w:rsid w:val="00DC6894"/>
    <w:rsid w:val="00DD4742"/>
    <w:rsid w:val="00DF2AFC"/>
    <w:rsid w:val="00E13F9E"/>
    <w:rsid w:val="00E2207C"/>
    <w:rsid w:val="00E30240"/>
    <w:rsid w:val="00E32589"/>
    <w:rsid w:val="00E35B44"/>
    <w:rsid w:val="00E575F5"/>
    <w:rsid w:val="00E76E7A"/>
    <w:rsid w:val="00E77989"/>
    <w:rsid w:val="00E94DA7"/>
    <w:rsid w:val="00E97B71"/>
    <w:rsid w:val="00EA7548"/>
    <w:rsid w:val="00EB5D10"/>
    <w:rsid w:val="00ED3968"/>
    <w:rsid w:val="00EE3A55"/>
    <w:rsid w:val="00EF1531"/>
    <w:rsid w:val="00EF17C4"/>
    <w:rsid w:val="00EF769C"/>
    <w:rsid w:val="00F07E8F"/>
    <w:rsid w:val="00F13219"/>
    <w:rsid w:val="00F27FD6"/>
    <w:rsid w:val="00F31C48"/>
    <w:rsid w:val="00F33880"/>
    <w:rsid w:val="00F428F5"/>
    <w:rsid w:val="00F44F8F"/>
    <w:rsid w:val="00F45520"/>
    <w:rsid w:val="00F704D5"/>
    <w:rsid w:val="00F742A2"/>
    <w:rsid w:val="00F84134"/>
    <w:rsid w:val="00F866CA"/>
    <w:rsid w:val="00F873CB"/>
    <w:rsid w:val="00FA36DF"/>
    <w:rsid w:val="00FB2E26"/>
    <w:rsid w:val="00FB533B"/>
    <w:rsid w:val="00FC5A79"/>
    <w:rsid w:val="00FF5256"/>
    <w:rsid w:val="040C100E"/>
    <w:rsid w:val="0B96744C"/>
    <w:rsid w:val="0E090B03"/>
    <w:rsid w:val="161E3721"/>
    <w:rsid w:val="19067D92"/>
    <w:rsid w:val="1A0820F7"/>
    <w:rsid w:val="2864344C"/>
    <w:rsid w:val="2ABA7756"/>
    <w:rsid w:val="2B2669A0"/>
    <w:rsid w:val="2B85488A"/>
    <w:rsid w:val="30266D94"/>
    <w:rsid w:val="38963838"/>
    <w:rsid w:val="3A890EED"/>
    <w:rsid w:val="3AAB4B25"/>
    <w:rsid w:val="3E487768"/>
    <w:rsid w:val="424530E0"/>
    <w:rsid w:val="499D54A4"/>
    <w:rsid w:val="533A0644"/>
    <w:rsid w:val="55A0559E"/>
    <w:rsid w:val="57E0569C"/>
    <w:rsid w:val="5868529B"/>
    <w:rsid w:val="5B5A2786"/>
    <w:rsid w:val="5EFC5FC3"/>
    <w:rsid w:val="61E861BF"/>
    <w:rsid w:val="62CB155C"/>
    <w:rsid w:val="63FC3FA2"/>
    <w:rsid w:val="64D57491"/>
    <w:rsid w:val="6DA93564"/>
    <w:rsid w:val="722F727F"/>
    <w:rsid w:val="73E75C1B"/>
    <w:rsid w:val="74C72FAC"/>
    <w:rsid w:val="76F21DD5"/>
    <w:rsid w:val="79BF0858"/>
    <w:rsid w:val="7D2A1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BE9220"/>
  <w15:docId w15:val="{0133FFB5-811C-4380-9C3C-AA747816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6" w:qFormat="1"/>
    <w:lsdException w:name="index 7"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endnote text" w:qFormat="1"/>
    <w:lsdException w:name="Title" w:qFormat="1"/>
    <w:lsdException w:name="Default Paragraph Font" w:semiHidden="1"/>
    <w:lsdException w:name="Subtitle" w:qFormat="1"/>
    <w:lsdException w:name="Dat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spacing w:line="360" w:lineRule="auto"/>
      <w:ind w:firstLineChars="200" w:firstLine="640"/>
      <w:jc w:val="both"/>
    </w:pPr>
    <w:rPr>
      <w:kern w:val="2"/>
      <w:sz w:val="28"/>
      <w:szCs w:val="24"/>
    </w:rPr>
  </w:style>
  <w:style w:type="paragraph" w:styleId="1">
    <w:name w:val="heading 1"/>
    <w:basedOn w:val="afd"/>
    <w:next w:val="afd"/>
    <w:link w:val="10"/>
    <w:uiPriority w:val="9"/>
    <w:qFormat/>
    <w:pPr>
      <w:keepNext/>
      <w:keepLines/>
      <w:pageBreakBefore/>
      <w:spacing w:before="100" w:after="100"/>
      <w:ind w:firstLineChars="0" w:firstLine="0"/>
      <w:jc w:val="left"/>
      <w:outlineLvl w:val="0"/>
    </w:pPr>
    <w:rPr>
      <w:b/>
      <w:bCs/>
      <w:kern w:val="44"/>
      <w:sz w:val="32"/>
      <w:szCs w:val="44"/>
    </w:rPr>
  </w:style>
  <w:style w:type="paragraph" w:styleId="2">
    <w:name w:val="heading 2"/>
    <w:basedOn w:val="afd"/>
    <w:next w:val="afd"/>
    <w:link w:val="20"/>
    <w:uiPriority w:val="9"/>
    <w:qFormat/>
    <w:pPr>
      <w:ind w:firstLineChars="0" w:firstLine="0"/>
      <w:jc w:val="left"/>
      <w:outlineLvl w:val="1"/>
    </w:pPr>
    <w:rPr>
      <w:rFonts w:ascii="黑体" w:hAnsi="黑体"/>
      <w:b/>
      <w:bCs/>
      <w:szCs w:val="32"/>
    </w:rPr>
  </w:style>
  <w:style w:type="paragraph" w:styleId="3">
    <w:name w:val="heading 3"/>
    <w:basedOn w:val="afd"/>
    <w:next w:val="afd"/>
    <w:link w:val="30"/>
    <w:uiPriority w:val="9"/>
    <w:qFormat/>
    <w:pPr>
      <w:keepNext/>
      <w:keepLines/>
      <w:spacing w:before="120" w:after="120"/>
      <w:outlineLvl w:val="2"/>
    </w:pPr>
    <w:rPr>
      <w:rFonts w:ascii="黑体" w:eastAsia="黑体" w:hAnsi="黑体"/>
      <w:bCs/>
      <w:szCs w:val="32"/>
    </w:rPr>
  </w:style>
  <w:style w:type="paragraph" w:styleId="4">
    <w:name w:val="heading 4"/>
    <w:basedOn w:val="afd"/>
    <w:next w:val="afd"/>
    <w:link w:val="40"/>
    <w:uiPriority w:val="9"/>
    <w:qFormat/>
    <w:pPr>
      <w:keepNext/>
      <w:keepLines/>
      <w:spacing w:before="280" w:after="290" w:line="376" w:lineRule="auto"/>
      <w:ind w:firstLine="200"/>
      <w:outlineLvl w:val="3"/>
    </w:pPr>
    <w:rPr>
      <w:rFonts w:ascii="Cambria" w:hAnsi="Cambria"/>
      <w:b/>
      <w:bCs/>
      <w:szCs w:val="28"/>
    </w:rPr>
  </w:style>
  <w:style w:type="paragraph" w:styleId="5">
    <w:name w:val="heading 5"/>
    <w:basedOn w:val="afd"/>
    <w:next w:val="afd"/>
    <w:link w:val="50"/>
    <w:uiPriority w:val="9"/>
    <w:qFormat/>
    <w:pPr>
      <w:keepNext/>
      <w:keepLines/>
      <w:spacing w:before="280" w:after="290" w:line="376" w:lineRule="auto"/>
      <w:outlineLvl w:val="4"/>
    </w:pPr>
    <w:rPr>
      <w:rFonts w:ascii="Calibri" w:hAnsi="Calibri"/>
      <w:b/>
      <w:bCs/>
      <w:szCs w:val="28"/>
    </w:rPr>
  </w:style>
  <w:style w:type="paragraph" w:styleId="6">
    <w:name w:val="heading 6"/>
    <w:basedOn w:val="afd"/>
    <w:next w:val="afd"/>
    <w:link w:val="60"/>
    <w:uiPriority w:val="9"/>
    <w:qFormat/>
    <w:pPr>
      <w:keepNext/>
      <w:keepLines/>
      <w:spacing w:before="240" w:after="64" w:line="320" w:lineRule="auto"/>
      <w:outlineLvl w:val="5"/>
    </w:pPr>
    <w:rPr>
      <w:rFonts w:ascii="Calibri Light" w:hAnsi="Calibri Light"/>
      <w:b/>
      <w:bCs/>
      <w:sz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TOC7">
    <w:name w:val="toc 7"/>
    <w:basedOn w:val="afd"/>
    <w:next w:val="afd"/>
    <w:pPr>
      <w:ind w:left="1260"/>
      <w:jc w:val="left"/>
    </w:pPr>
    <w:rPr>
      <w:rFonts w:ascii="Calibri" w:hAnsi="Calibri"/>
      <w:sz w:val="18"/>
      <w:szCs w:val="18"/>
    </w:rPr>
  </w:style>
  <w:style w:type="paragraph" w:styleId="8">
    <w:name w:val="index 8"/>
    <w:basedOn w:val="afd"/>
    <w:next w:val="afd"/>
    <w:pPr>
      <w:ind w:left="1680" w:hanging="210"/>
      <w:jc w:val="left"/>
    </w:pPr>
    <w:rPr>
      <w:rFonts w:ascii="Calibri" w:hAnsi="Calibri"/>
      <w:sz w:val="20"/>
      <w:szCs w:val="20"/>
    </w:rPr>
  </w:style>
  <w:style w:type="paragraph" w:styleId="aff1">
    <w:name w:val="caption"/>
    <w:basedOn w:val="afd"/>
    <w:next w:val="afd"/>
    <w:qFormat/>
    <w:pPr>
      <w:ind w:firstLine="200"/>
    </w:pPr>
    <w:rPr>
      <w:rFonts w:ascii="Cambria" w:eastAsia="黑体" w:hAnsi="Cambria"/>
      <w:sz w:val="20"/>
      <w:szCs w:val="20"/>
    </w:rPr>
  </w:style>
  <w:style w:type="paragraph" w:styleId="51">
    <w:name w:val="index 5"/>
    <w:basedOn w:val="afd"/>
    <w:next w:val="afd"/>
    <w:pPr>
      <w:ind w:left="1050" w:hanging="210"/>
      <w:jc w:val="left"/>
    </w:pPr>
    <w:rPr>
      <w:rFonts w:ascii="Calibri" w:hAnsi="Calibri"/>
      <w:sz w:val="20"/>
      <w:szCs w:val="20"/>
    </w:rPr>
  </w:style>
  <w:style w:type="paragraph" w:styleId="aff2">
    <w:name w:val="Document Map"/>
    <w:basedOn w:val="afd"/>
    <w:link w:val="aff3"/>
    <w:qFormat/>
    <w:rPr>
      <w:rFonts w:ascii="宋体"/>
      <w:sz w:val="18"/>
      <w:szCs w:val="18"/>
    </w:rPr>
  </w:style>
  <w:style w:type="paragraph" w:styleId="aff4">
    <w:name w:val="annotation text"/>
    <w:basedOn w:val="afd"/>
    <w:link w:val="aff5"/>
    <w:qFormat/>
    <w:pPr>
      <w:ind w:firstLine="200"/>
      <w:jc w:val="left"/>
    </w:pPr>
    <w:rPr>
      <w:rFonts w:ascii="Calibri" w:hAnsi="Calibri"/>
      <w:szCs w:val="22"/>
    </w:rPr>
  </w:style>
  <w:style w:type="paragraph" w:styleId="61">
    <w:name w:val="index 6"/>
    <w:basedOn w:val="afd"/>
    <w:next w:val="afd"/>
    <w:qFormat/>
    <w:pPr>
      <w:ind w:left="1260" w:hanging="210"/>
      <w:jc w:val="left"/>
    </w:pPr>
    <w:rPr>
      <w:rFonts w:ascii="Calibri" w:hAnsi="Calibri"/>
      <w:sz w:val="20"/>
      <w:szCs w:val="20"/>
    </w:rPr>
  </w:style>
  <w:style w:type="paragraph" w:styleId="41">
    <w:name w:val="index 4"/>
    <w:basedOn w:val="afd"/>
    <w:next w:val="afd"/>
    <w:qFormat/>
    <w:pPr>
      <w:ind w:left="840" w:hanging="210"/>
      <w:jc w:val="left"/>
    </w:pPr>
    <w:rPr>
      <w:rFonts w:ascii="Calibri" w:hAnsi="Calibri"/>
      <w:sz w:val="20"/>
      <w:szCs w:val="20"/>
    </w:rPr>
  </w:style>
  <w:style w:type="paragraph" w:styleId="TOC5">
    <w:name w:val="toc 5"/>
    <w:basedOn w:val="afd"/>
    <w:next w:val="afd"/>
    <w:qFormat/>
    <w:pPr>
      <w:ind w:left="840"/>
      <w:jc w:val="left"/>
    </w:pPr>
    <w:rPr>
      <w:rFonts w:ascii="Calibri" w:hAnsi="Calibri"/>
      <w:sz w:val="18"/>
      <w:szCs w:val="18"/>
    </w:rPr>
  </w:style>
  <w:style w:type="paragraph" w:styleId="TOC3">
    <w:name w:val="toc 3"/>
    <w:basedOn w:val="afd"/>
    <w:next w:val="afd"/>
    <w:qFormat/>
    <w:pPr>
      <w:ind w:left="420"/>
      <w:jc w:val="left"/>
    </w:pPr>
    <w:rPr>
      <w:rFonts w:ascii="Calibri" w:hAnsi="Calibri"/>
      <w:i/>
      <w:iCs/>
      <w:sz w:val="20"/>
      <w:szCs w:val="20"/>
    </w:rPr>
  </w:style>
  <w:style w:type="paragraph" w:styleId="TOC8">
    <w:name w:val="toc 8"/>
    <w:basedOn w:val="afd"/>
    <w:next w:val="afd"/>
    <w:qFormat/>
    <w:pPr>
      <w:ind w:left="1470"/>
      <w:jc w:val="left"/>
    </w:pPr>
    <w:rPr>
      <w:rFonts w:ascii="Calibri" w:hAnsi="Calibri"/>
      <w:sz w:val="18"/>
      <w:szCs w:val="18"/>
    </w:rPr>
  </w:style>
  <w:style w:type="paragraph" w:styleId="31">
    <w:name w:val="index 3"/>
    <w:basedOn w:val="afd"/>
    <w:next w:val="afd"/>
    <w:qFormat/>
    <w:pPr>
      <w:ind w:left="630" w:hanging="210"/>
      <w:jc w:val="left"/>
    </w:pPr>
    <w:rPr>
      <w:rFonts w:ascii="Calibri" w:hAnsi="Calibri"/>
      <w:sz w:val="20"/>
      <w:szCs w:val="20"/>
    </w:rPr>
  </w:style>
  <w:style w:type="paragraph" w:styleId="aff6">
    <w:name w:val="Date"/>
    <w:basedOn w:val="afd"/>
    <w:next w:val="afd"/>
    <w:link w:val="aff7"/>
    <w:qFormat/>
    <w:pPr>
      <w:ind w:leftChars="2500" w:left="100"/>
    </w:pPr>
  </w:style>
  <w:style w:type="paragraph" w:styleId="aff8">
    <w:name w:val="endnote text"/>
    <w:basedOn w:val="afd"/>
    <w:link w:val="aff9"/>
    <w:qFormat/>
    <w:pPr>
      <w:snapToGrid w:val="0"/>
      <w:jc w:val="left"/>
    </w:pPr>
  </w:style>
  <w:style w:type="paragraph" w:styleId="affa">
    <w:name w:val="Balloon Text"/>
    <w:basedOn w:val="afd"/>
    <w:link w:val="affb"/>
    <w:qFormat/>
    <w:rPr>
      <w:sz w:val="18"/>
      <w:szCs w:val="18"/>
    </w:rPr>
  </w:style>
  <w:style w:type="paragraph" w:styleId="affc">
    <w:name w:val="footer"/>
    <w:basedOn w:val="afd"/>
    <w:link w:val="affd"/>
    <w:uiPriority w:val="99"/>
    <w:qFormat/>
    <w:pPr>
      <w:tabs>
        <w:tab w:val="center" w:pos="4153"/>
        <w:tab w:val="right" w:pos="8306"/>
      </w:tabs>
      <w:snapToGrid w:val="0"/>
      <w:ind w:firstLineChars="0" w:firstLine="0"/>
      <w:jc w:val="left"/>
    </w:pPr>
    <w:rPr>
      <w:sz w:val="24"/>
      <w:szCs w:val="18"/>
    </w:rPr>
  </w:style>
  <w:style w:type="paragraph" w:styleId="affe">
    <w:name w:val="header"/>
    <w:basedOn w:val="afd"/>
    <w:link w:val="afff"/>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fd"/>
    <w:next w:val="afd"/>
    <w:uiPriority w:val="39"/>
    <w:qFormat/>
    <w:pPr>
      <w:spacing w:before="120" w:after="120"/>
      <w:jc w:val="left"/>
    </w:pPr>
    <w:rPr>
      <w:rFonts w:ascii="Calibri" w:hAnsi="Calibri"/>
      <w:b/>
      <w:bCs/>
      <w:caps/>
      <w:sz w:val="20"/>
      <w:szCs w:val="20"/>
    </w:rPr>
  </w:style>
  <w:style w:type="paragraph" w:styleId="TOC4">
    <w:name w:val="toc 4"/>
    <w:basedOn w:val="afd"/>
    <w:next w:val="afd"/>
    <w:qFormat/>
    <w:pPr>
      <w:ind w:left="630"/>
      <w:jc w:val="left"/>
    </w:pPr>
    <w:rPr>
      <w:rFonts w:ascii="Calibri" w:hAnsi="Calibri"/>
      <w:sz w:val="18"/>
      <w:szCs w:val="18"/>
    </w:rPr>
  </w:style>
  <w:style w:type="paragraph" w:styleId="afff0">
    <w:name w:val="index heading"/>
    <w:basedOn w:val="afd"/>
    <w:next w:val="11"/>
    <w:qFormat/>
    <w:pPr>
      <w:spacing w:before="120" w:after="120"/>
      <w:jc w:val="center"/>
    </w:pPr>
    <w:rPr>
      <w:rFonts w:ascii="Calibri" w:hAnsi="Calibri"/>
      <w:b/>
      <w:bCs/>
      <w:iCs/>
      <w:szCs w:val="20"/>
    </w:rPr>
  </w:style>
  <w:style w:type="paragraph" w:styleId="11">
    <w:name w:val="index 1"/>
    <w:basedOn w:val="afd"/>
    <w:next w:val="afff1"/>
    <w:qFormat/>
    <w:pPr>
      <w:tabs>
        <w:tab w:val="right" w:leader="dot" w:pos="9299"/>
      </w:tabs>
      <w:jc w:val="left"/>
    </w:pPr>
    <w:rPr>
      <w:rFonts w:ascii="宋体"/>
      <w:szCs w:val="21"/>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d"/>
    <w:link w:val="afff2"/>
    <w:qFormat/>
    <w:pPr>
      <w:numPr>
        <w:numId w:val="1"/>
      </w:numPr>
      <w:snapToGrid w:val="0"/>
      <w:jc w:val="left"/>
    </w:pPr>
    <w:rPr>
      <w:rFonts w:ascii="宋体"/>
      <w:sz w:val="18"/>
      <w:szCs w:val="18"/>
    </w:rPr>
  </w:style>
  <w:style w:type="paragraph" w:styleId="TOC6">
    <w:name w:val="toc 6"/>
    <w:basedOn w:val="afd"/>
    <w:next w:val="afd"/>
    <w:qFormat/>
    <w:pPr>
      <w:ind w:left="1050"/>
      <w:jc w:val="left"/>
    </w:pPr>
    <w:rPr>
      <w:rFonts w:ascii="Calibri" w:hAnsi="Calibri"/>
      <w:sz w:val="18"/>
      <w:szCs w:val="18"/>
    </w:rPr>
  </w:style>
  <w:style w:type="paragraph" w:styleId="7">
    <w:name w:val="index 7"/>
    <w:basedOn w:val="afd"/>
    <w:next w:val="afd"/>
    <w:qFormat/>
    <w:pPr>
      <w:ind w:left="1470" w:hanging="210"/>
      <w:jc w:val="left"/>
    </w:pPr>
    <w:rPr>
      <w:rFonts w:ascii="Calibri" w:hAnsi="Calibri"/>
      <w:sz w:val="20"/>
      <w:szCs w:val="20"/>
    </w:rPr>
  </w:style>
  <w:style w:type="paragraph" w:styleId="9">
    <w:name w:val="index 9"/>
    <w:basedOn w:val="afd"/>
    <w:next w:val="afd"/>
    <w:qFormat/>
    <w:pPr>
      <w:ind w:left="1890" w:hanging="210"/>
      <w:jc w:val="left"/>
    </w:pPr>
    <w:rPr>
      <w:rFonts w:ascii="Calibri" w:hAnsi="Calibri"/>
      <w:sz w:val="20"/>
      <w:szCs w:val="20"/>
    </w:rPr>
  </w:style>
  <w:style w:type="paragraph" w:styleId="TOC2">
    <w:name w:val="toc 2"/>
    <w:basedOn w:val="afd"/>
    <w:next w:val="afd"/>
    <w:uiPriority w:val="39"/>
    <w:qFormat/>
    <w:pPr>
      <w:ind w:left="210"/>
      <w:jc w:val="left"/>
    </w:pPr>
    <w:rPr>
      <w:rFonts w:ascii="Calibri" w:hAnsi="Calibri"/>
      <w:smallCaps/>
      <w:sz w:val="20"/>
      <w:szCs w:val="20"/>
    </w:rPr>
  </w:style>
  <w:style w:type="paragraph" w:styleId="TOC9">
    <w:name w:val="toc 9"/>
    <w:basedOn w:val="afd"/>
    <w:next w:val="afd"/>
    <w:qFormat/>
    <w:pPr>
      <w:ind w:left="1680"/>
      <w:jc w:val="left"/>
    </w:pPr>
    <w:rPr>
      <w:rFonts w:ascii="Calibri" w:hAnsi="Calibri"/>
      <w:sz w:val="18"/>
      <w:szCs w:val="18"/>
    </w:rPr>
  </w:style>
  <w:style w:type="paragraph" w:styleId="afff3">
    <w:name w:val="Normal (Web)"/>
    <w:basedOn w:val="afd"/>
    <w:qFormat/>
    <w:pPr>
      <w:widowControl/>
      <w:spacing w:before="100" w:beforeAutospacing="1" w:after="100" w:afterAutospacing="1"/>
      <w:jc w:val="left"/>
    </w:pPr>
    <w:rPr>
      <w:rFonts w:ascii="宋体" w:hAnsi="宋体" w:cs="宋体"/>
      <w:kern w:val="0"/>
      <w:sz w:val="24"/>
    </w:rPr>
  </w:style>
  <w:style w:type="paragraph" w:styleId="21">
    <w:name w:val="index 2"/>
    <w:basedOn w:val="afd"/>
    <w:next w:val="afd"/>
    <w:qFormat/>
    <w:pPr>
      <w:ind w:left="420" w:hanging="210"/>
      <w:jc w:val="left"/>
    </w:pPr>
    <w:rPr>
      <w:rFonts w:ascii="Calibri" w:hAnsi="Calibri"/>
      <w:sz w:val="20"/>
      <w:szCs w:val="20"/>
    </w:rPr>
  </w:style>
  <w:style w:type="paragraph" w:styleId="afff4">
    <w:name w:val="Title"/>
    <w:basedOn w:val="afd"/>
    <w:next w:val="afd"/>
    <w:link w:val="afff5"/>
    <w:qFormat/>
    <w:pPr>
      <w:spacing w:before="240" w:after="60"/>
      <w:ind w:firstLine="200"/>
      <w:jc w:val="center"/>
      <w:outlineLvl w:val="0"/>
    </w:pPr>
    <w:rPr>
      <w:rFonts w:ascii="黑体" w:eastAsia="黑体" w:hAnsi="黑体"/>
      <w:bCs/>
      <w:sz w:val="32"/>
      <w:szCs w:val="32"/>
    </w:rPr>
  </w:style>
  <w:style w:type="paragraph" w:styleId="afff6">
    <w:name w:val="annotation subject"/>
    <w:basedOn w:val="aff4"/>
    <w:next w:val="aff4"/>
    <w:link w:val="afff7"/>
    <w:rPr>
      <w:b/>
      <w:bCs/>
    </w:rPr>
  </w:style>
  <w:style w:type="table" w:styleId="afff8">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9">
    <w:name w:val="endnote reference"/>
    <w:rPr>
      <w:vertAlign w:val="superscript"/>
    </w:rPr>
  </w:style>
  <w:style w:type="character" w:styleId="afffa">
    <w:name w:val="page number"/>
    <w:rPr>
      <w:rFonts w:ascii="Times New Roman" w:eastAsia="宋体" w:hAnsi="Times New Roman"/>
      <w:sz w:val="18"/>
    </w:rPr>
  </w:style>
  <w:style w:type="character" w:styleId="afffb">
    <w:name w:val="FollowedHyperlink"/>
    <w:rPr>
      <w:color w:val="800080"/>
      <w:u w:val="single"/>
    </w:rPr>
  </w:style>
  <w:style w:type="character" w:styleId="afffc">
    <w:name w:val="Hyperlink"/>
    <w:uiPriority w:val="99"/>
    <w:rPr>
      <w:color w:val="0000FF"/>
      <w:spacing w:val="0"/>
      <w:w w:val="100"/>
      <w:szCs w:val="21"/>
      <w:u w:val="single"/>
    </w:rPr>
  </w:style>
  <w:style w:type="character" w:styleId="afffd">
    <w:name w:val="annotation reference"/>
    <w:rPr>
      <w:sz w:val="21"/>
      <w:szCs w:val="21"/>
    </w:rPr>
  </w:style>
  <w:style w:type="character" w:styleId="afffe">
    <w:name w:val="footnote reference"/>
    <w:rPr>
      <w:vertAlign w:val="superscript"/>
    </w:rPr>
  </w:style>
  <w:style w:type="character" w:customStyle="1" w:styleId="10">
    <w:name w:val="标题 1 字符"/>
    <w:link w:val="1"/>
    <w:uiPriority w:val="9"/>
    <w:rPr>
      <w:rFonts w:ascii="Times New Roman" w:eastAsia="宋体" w:hAnsi="Times New Roman"/>
      <w:b/>
      <w:bCs/>
      <w:kern w:val="44"/>
      <w:sz w:val="32"/>
      <w:szCs w:val="44"/>
    </w:rPr>
  </w:style>
  <w:style w:type="character" w:customStyle="1" w:styleId="20">
    <w:name w:val="标题 2 字符"/>
    <w:link w:val="2"/>
    <w:uiPriority w:val="9"/>
    <w:rPr>
      <w:rFonts w:ascii="黑体" w:eastAsia="宋体" w:hAnsi="黑体"/>
      <w:b/>
      <w:bCs/>
      <w:kern w:val="2"/>
      <w:sz w:val="28"/>
      <w:szCs w:val="32"/>
      <w:lang w:bidi="ar-SA"/>
    </w:rPr>
  </w:style>
  <w:style w:type="character" w:customStyle="1" w:styleId="30">
    <w:name w:val="标题 3 字符"/>
    <w:link w:val="3"/>
    <w:uiPriority w:val="9"/>
    <w:rPr>
      <w:rFonts w:ascii="黑体" w:eastAsia="黑体" w:hAnsi="黑体"/>
      <w:bCs/>
      <w:kern w:val="2"/>
      <w:sz w:val="21"/>
      <w:szCs w:val="32"/>
    </w:rPr>
  </w:style>
  <w:style w:type="character" w:customStyle="1" w:styleId="40">
    <w:name w:val="标题 4 字符"/>
    <w:link w:val="4"/>
    <w:uiPriority w:val="9"/>
    <w:rPr>
      <w:rFonts w:ascii="Cambria" w:hAnsi="Cambria"/>
      <w:b/>
      <w:bCs/>
      <w:kern w:val="2"/>
      <w:sz w:val="28"/>
      <w:szCs w:val="28"/>
    </w:rPr>
  </w:style>
  <w:style w:type="character" w:customStyle="1" w:styleId="50">
    <w:name w:val="标题 5 字符"/>
    <w:link w:val="5"/>
    <w:uiPriority w:val="9"/>
    <w:rPr>
      <w:rFonts w:ascii="Calibri" w:hAnsi="Calibri"/>
      <w:b/>
      <w:bCs/>
      <w:kern w:val="2"/>
      <w:sz w:val="28"/>
      <w:szCs w:val="28"/>
    </w:rPr>
  </w:style>
  <w:style w:type="character" w:customStyle="1" w:styleId="60">
    <w:name w:val="标题 6 字符"/>
    <w:link w:val="6"/>
    <w:uiPriority w:val="9"/>
    <w:rPr>
      <w:rFonts w:ascii="Calibri Light" w:hAnsi="Calibri Light"/>
      <w:b/>
      <w:bCs/>
      <w:kern w:val="2"/>
      <w:sz w:val="24"/>
      <w:szCs w:val="24"/>
    </w:rPr>
  </w:style>
  <w:style w:type="character" w:customStyle="1" w:styleId="aff3">
    <w:name w:val="文档结构图 字符"/>
    <w:link w:val="aff2"/>
    <w:rPr>
      <w:rFonts w:ascii="宋体"/>
      <w:kern w:val="2"/>
      <w:sz w:val="18"/>
      <w:szCs w:val="18"/>
    </w:rPr>
  </w:style>
  <w:style w:type="character" w:customStyle="1" w:styleId="aff5">
    <w:name w:val="批注文字 字符"/>
    <w:link w:val="aff4"/>
    <w:rPr>
      <w:rFonts w:ascii="Calibri" w:hAnsi="Calibri"/>
      <w:kern w:val="2"/>
      <w:sz w:val="21"/>
      <w:szCs w:val="22"/>
    </w:rPr>
  </w:style>
  <w:style w:type="character" w:customStyle="1" w:styleId="aff7">
    <w:name w:val="日期 字符"/>
    <w:link w:val="aff6"/>
    <w:rPr>
      <w:kern w:val="2"/>
      <w:sz w:val="21"/>
      <w:szCs w:val="24"/>
    </w:rPr>
  </w:style>
  <w:style w:type="character" w:customStyle="1" w:styleId="aff9">
    <w:name w:val="尾注文本 字符"/>
    <w:link w:val="aff8"/>
    <w:rPr>
      <w:kern w:val="2"/>
      <w:sz w:val="21"/>
      <w:szCs w:val="24"/>
    </w:rPr>
  </w:style>
  <w:style w:type="character" w:customStyle="1" w:styleId="affb">
    <w:name w:val="批注框文本 字符"/>
    <w:link w:val="affa"/>
    <w:rPr>
      <w:kern w:val="2"/>
      <w:sz w:val="18"/>
      <w:szCs w:val="18"/>
    </w:rPr>
  </w:style>
  <w:style w:type="character" w:customStyle="1" w:styleId="affd">
    <w:name w:val="页脚 字符"/>
    <w:link w:val="affc"/>
    <w:uiPriority w:val="99"/>
    <w:rPr>
      <w:rFonts w:eastAsia="宋体"/>
      <w:kern w:val="2"/>
      <w:sz w:val="24"/>
      <w:szCs w:val="18"/>
    </w:rPr>
  </w:style>
  <w:style w:type="character" w:customStyle="1" w:styleId="afff">
    <w:name w:val="页眉 字符"/>
    <w:link w:val="affe"/>
    <w:uiPriority w:val="99"/>
    <w:rPr>
      <w:kern w:val="2"/>
      <w:sz w:val="18"/>
      <w:szCs w:val="18"/>
    </w:rPr>
  </w:style>
  <w:style w:type="character" w:customStyle="1" w:styleId="Char">
    <w:name w:val="段 Char"/>
    <w:link w:val="afff1"/>
    <w:qFormat/>
    <w:rPr>
      <w:rFonts w:ascii="宋体"/>
      <w:sz w:val="21"/>
      <w:lang w:val="en-US" w:eastAsia="zh-CN" w:bidi="ar-SA"/>
    </w:rPr>
  </w:style>
  <w:style w:type="character" w:customStyle="1" w:styleId="afff2">
    <w:name w:val="脚注文本 字符"/>
    <w:link w:val="ae"/>
    <w:rPr>
      <w:rFonts w:ascii="宋体"/>
      <w:kern w:val="2"/>
      <w:sz w:val="18"/>
      <w:szCs w:val="18"/>
    </w:rPr>
  </w:style>
  <w:style w:type="character" w:customStyle="1" w:styleId="afff5">
    <w:name w:val="标题 字符"/>
    <w:link w:val="afff4"/>
    <w:rPr>
      <w:rFonts w:ascii="黑体" w:eastAsia="黑体" w:hAnsi="黑体"/>
      <w:bCs/>
      <w:kern w:val="2"/>
      <w:sz w:val="32"/>
      <w:szCs w:val="32"/>
    </w:rPr>
  </w:style>
  <w:style w:type="character" w:customStyle="1" w:styleId="afff7">
    <w:name w:val="批注主题 字符"/>
    <w:link w:val="afff6"/>
    <w:rPr>
      <w:rFonts w:ascii="Calibri" w:hAnsi="Calibri"/>
      <w:b/>
      <w:bCs/>
      <w:kern w:val="2"/>
      <w:sz w:val="21"/>
      <w:szCs w:val="22"/>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f1"/>
    <w:link w:val="Char0"/>
    <w:qFormat/>
    <w:pPr>
      <w:numPr>
        <w:numId w:val="2"/>
      </w:numPr>
      <w:tabs>
        <w:tab w:val="left" w:pos="360"/>
      </w:tabs>
      <w:ind w:firstLine="0"/>
    </w:pPr>
    <w:rPr>
      <w:rFonts w:ascii="宋体" w:hAnsi="宋体"/>
      <w:kern w:val="2"/>
      <w:sz w:val="18"/>
      <w:szCs w:val="18"/>
    </w:rPr>
  </w:style>
  <w:style w:type="character" w:customStyle="1" w:styleId="12">
    <w:name w:val="标题1"/>
  </w:style>
  <w:style w:type="character" w:customStyle="1" w:styleId="apple-converted-space">
    <w:name w:val="apple-converted-space"/>
  </w:style>
  <w:style w:type="character" w:customStyle="1" w:styleId="affff">
    <w:name w:val="发布"/>
    <w:qFormat/>
    <w:rPr>
      <w:rFonts w:ascii="黑体" w:eastAsia="黑体"/>
      <w:spacing w:val="85"/>
      <w:w w:val="100"/>
      <w:position w:val="3"/>
      <w:sz w:val="28"/>
      <w:szCs w:val="28"/>
    </w:rPr>
  </w:style>
  <w:style w:type="character" w:customStyle="1" w:styleId="high-light-bg4">
    <w:name w:val="high-light-bg4"/>
  </w:style>
  <w:style w:type="character" w:customStyle="1" w:styleId="Char1">
    <w:name w:val="二级条标题 Char"/>
    <w:link w:val="a7"/>
    <w:rPr>
      <w:rFonts w:ascii="黑体" w:eastAsia="黑体"/>
      <w:sz w:val="21"/>
      <w:szCs w:val="21"/>
    </w:rPr>
  </w:style>
  <w:style w:type="paragraph" w:customStyle="1" w:styleId="a7">
    <w:name w:val="二级条标题"/>
    <w:basedOn w:val="a6"/>
    <w:next w:val="afff1"/>
    <w:link w:val="Char1"/>
    <w:qFormat/>
    <w:pPr>
      <w:numPr>
        <w:ilvl w:val="2"/>
      </w:numPr>
      <w:spacing w:before="50" w:after="50"/>
      <w:outlineLvl w:val="3"/>
    </w:pPr>
  </w:style>
  <w:style w:type="paragraph" w:customStyle="1" w:styleId="a6">
    <w:name w:val="一级条标题"/>
    <w:next w:val="afff1"/>
    <w:qFormat/>
    <w:pPr>
      <w:numPr>
        <w:ilvl w:val="1"/>
        <w:numId w:val="3"/>
      </w:numPr>
      <w:spacing w:beforeLines="50" w:before="156" w:afterLines="50" w:after="156"/>
      <w:outlineLvl w:val="2"/>
    </w:pPr>
    <w:rPr>
      <w:rFonts w:ascii="黑体" w:eastAsia="黑体"/>
      <w:sz w:val="21"/>
      <w:szCs w:val="21"/>
    </w:rPr>
  </w:style>
  <w:style w:type="character" w:customStyle="1" w:styleId="ordinary-span-edit">
    <w:name w:val="ordinary-span-edit"/>
  </w:style>
  <w:style w:type="character" w:customStyle="1" w:styleId="CharChar">
    <w:name w:val="段 Char Char"/>
    <w:locked/>
    <w:rPr>
      <w:rFonts w:ascii="宋体" w:hAnsi="宋体"/>
      <w:sz w:val="21"/>
    </w:rPr>
  </w:style>
  <w:style w:type="character" w:customStyle="1" w:styleId="Char2">
    <w:name w:val="附录公式 Char"/>
    <w:link w:val="affff0"/>
    <w:qFormat/>
    <w:rPr>
      <w:lang w:val="en-US" w:eastAsia="zh-CN" w:bidi="ar-SA"/>
    </w:rPr>
  </w:style>
  <w:style w:type="paragraph" w:customStyle="1" w:styleId="affff0">
    <w:name w:val="附录公式"/>
    <w:basedOn w:val="afff1"/>
    <w:next w:val="afff1"/>
    <w:link w:val="Char2"/>
    <w:qFormat/>
  </w:style>
  <w:style w:type="paragraph" w:customStyle="1" w:styleId="xl77">
    <w:name w:val="xl77"/>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1">
    <w:name w:val="四级条标题"/>
    <w:basedOn w:val="a8"/>
    <w:next w:val="afff1"/>
    <w:qFormat/>
    <w:pPr>
      <w:numPr>
        <w:ilvl w:val="0"/>
        <w:numId w:val="0"/>
      </w:numPr>
      <w:outlineLvl w:val="5"/>
    </w:pPr>
  </w:style>
  <w:style w:type="paragraph" w:customStyle="1" w:styleId="a8">
    <w:name w:val="三级条标题"/>
    <w:basedOn w:val="a7"/>
    <w:next w:val="afff1"/>
    <w:qFormat/>
    <w:pPr>
      <w:numPr>
        <w:ilvl w:val="3"/>
      </w:numPr>
      <w:tabs>
        <w:tab w:val="left" w:pos="560"/>
      </w:tabs>
      <w:ind w:left="544" w:hanging="544"/>
      <w:outlineLvl w:val="4"/>
    </w:pPr>
  </w:style>
  <w:style w:type="paragraph" w:customStyle="1" w:styleId="42">
    <w:name w:val="标题4"/>
    <w:basedOn w:val="afd"/>
    <w:qFormat/>
    <w:pPr>
      <w:spacing w:beforeLines="50" w:before="50" w:afterLines="50" w:after="50"/>
      <w:outlineLvl w:val="3"/>
    </w:pPr>
    <w:rPr>
      <w:rFonts w:ascii="黑体" w:eastAsia="黑体" w:hAnsi="黑体"/>
    </w:rPr>
  </w:style>
  <w:style w:type="paragraph" w:customStyle="1" w:styleId="affff2">
    <w:name w:val="五级无"/>
    <w:basedOn w:val="affff3"/>
    <w:qFormat/>
    <w:pPr>
      <w:spacing w:beforeLines="0" w:before="0" w:afterLines="0" w:after="0"/>
    </w:pPr>
    <w:rPr>
      <w:rFonts w:ascii="宋体" w:eastAsia="宋体"/>
    </w:rPr>
  </w:style>
  <w:style w:type="paragraph" w:customStyle="1" w:styleId="affff3">
    <w:name w:val="五级条标题"/>
    <w:basedOn w:val="affff1"/>
    <w:next w:val="afff1"/>
    <w:qFormat/>
    <w:pPr>
      <w:outlineLvl w:val="6"/>
    </w:pPr>
  </w:style>
  <w:style w:type="paragraph" w:customStyle="1" w:styleId="affff4">
    <w:name w:val="列项说明"/>
    <w:basedOn w:val="afd"/>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font6">
    <w:name w:val="font6"/>
    <w:basedOn w:val="afd"/>
    <w:pPr>
      <w:widowControl/>
      <w:spacing w:before="100" w:beforeAutospacing="1" w:after="100" w:afterAutospacing="1"/>
      <w:jc w:val="left"/>
    </w:pPr>
    <w:rPr>
      <w:rFonts w:ascii="Wingdings 2" w:hAnsi="Wingdings 2" w:cs="宋体"/>
      <w:color w:val="000000"/>
      <w:kern w:val="0"/>
      <w:sz w:val="22"/>
      <w:szCs w:val="22"/>
    </w:rPr>
  </w:style>
  <w:style w:type="paragraph" w:customStyle="1" w:styleId="a4">
    <w:name w:val="注×：（正文）"/>
    <w:qFormat/>
    <w:pPr>
      <w:numPr>
        <w:numId w:val="4"/>
      </w:numPr>
      <w:jc w:val="both"/>
    </w:pPr>
    <w:rPr>
      <w:rFonts w:ascii="宋体"/>
      <w:sz w:val="18"/>
      <w:szCs w:val="18"/>
    </w:rPr>
  </w:style>
  <w:style w:type="paragraph" w:customStyle="1" w:styleId="affff5">
    <w:name w:val="图标脚注说明"/>
    <w:basedOn w:val="afff1"/>
    <w:qFormat/>
    <w:pPr>
      <w:ind w:left="840" w:firstLineChars="0" w:hanging="420"/>
    </w:pPr>
    <w:rPr>
      <w:sz w:val="18"/>
      <w:szCs w:val="18"/>
    </w:rPr>
  </w:style>
  <w:style w:type="paragraph" w:customStyle="1" w:styleId="affff6">
    <w:name w:val="附录五级条标题"/>
    <w:basedOn w:val="af9"/>
    <w:next w:val="afff1"/>
    <w:qFormat/>
    <w:pPr>
      <w:numPr>
        <w:ilvl w:val="0"/>
        <w:numId w:val="0"/>
      </w:numPr>
      <w:outlineLvl w:val="6"/>
    </w:pPr>
  </w:style>
  <w:style w:type="paragraph" w:customStyle="1" w:styleId="af9">
    <w:name w:val="附录四级条标题"/>
    <w:basedOn w:val="af8"/>
    <w:next w:val="afff1"/>
    <w:qFormat/>
    <w:pPr>
      <w:numPr>
        <w:ilvl w:val="5"/>
      </w:numPr>
      <w:outlineLvl w:val="5"/>
    </w:pPr>
  </w:style>
  <w:style w:type="paragraph" w:customStyle="1" w:styleId="af8">
    <w:name w:val="附录三级条标题"/>
    <w:basedOn w:val="affff7"/>
    <w:next w:val="afff1"/>
    <w:qFormat/>
    <w:pPr>
      <w:numPr>
        <w:ilvl w:val="4"/>
        <w:numId w:val="5"/>
      </w:numPr>
      <w:outlineLvl w:val="4"/>
    </w:pPr>
  </w:style>
  <w:style w:type="paragraph" w:customStyle="1" w:styleId="affff7">
    <w:name w:val="附录二级条标题"/>
    <w:basedOn w:val="afd"/>
    <w:next w:val="afff1"/>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xl76">
    <w:name w:val="xl76"/>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303030"/>
      <w:kern w:val="0"/>
      <w:sz w:val="20"/>
      <w:szCs w:val="20"/>
    </w:rPr>
  </w:style>
  <w:style w:type="paragraph" w:customStyle="1" w:styleId="xl78">
    <w:name w:val="xl78"/>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8">
    <w:name w:val="其他发布部门"/>
    <w:basedOn w:val="affff9"/>
    <w:pPr>
      <w:framePr w:wrap="around" w:y="15310"/>
      <w:spacing w:line="0" w:lineRule="atLeast"/>
    </w:pPr>
    <w:rPr>
      <w:rFonts w:ascii="黑体" w:eastAsia="黑体"/>
      <w:b w:val="0"/>
    </w:rPr>
  </w:style>
  <w:style w:type="paragraph" w:customStyle="1" w:styleId="affff9">
    <w:name w:val="发布部门"/>
    <w:next w:val="a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xl72">
    <w:name w:val="xl72"/>
    <w:basedOn w:val="af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2">
    <w:name w:val="示例×："/>
    <w:basedOn w:val="a5"/>
    <w:qFormat/>
    <w:pPr>
      <w:numPr>
        <w:numId w:val="6"/>
      </w:numPr>
      <w:spacing w:beforeLines="0" w:before="0" w:afterLines="0" w:after="0"/>
      <w:outlineLvl w:val="9"/>
    </w:pPr>
    <w:rPr>
      <w:rFonts w:ascii="宋体" w:eastAsia="宋体"/>
      <w:sz w:val="18"/>
      <w:szCs w:val="18"/>
    </w:rPr>
  </w:style>
  <w:style w:type="paragraph" w:customStyle="1" w:styleId="a5">
    <w:name w:val="章标题"/>
    <w:next w:val="afff1"/>
    <w:qFormat/>
    <w:pPr>
      <w:numPr>
        <w:numId w:val="3"/>
      </w:numPr>
      <w:spacing w:beforeLines="100" w:before="312" w:afterLines="100" w:after="312"/>
      <w:jc w:val="both"/>
      <w:outlineLvl w:val="1"/>
    </w:pPr>
    <w:rPr>
      <w:rFonts w:ascii="黑体" w:eastAsia="黑体"/>
      <w:sz w:val="21"/>
    </w:rPr>
  </w:style>
  <w:style w:type="paragraph" w:customStyle="1" w:styleId="affffa">
    <w:name w:val="参考文献、索引标题"/>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Style100">
    <w:name w:val="_Style 100"/>
    <w:basedOn w:val="1"/>
    <w:next w:val="afd"/>
    <w:uiPriority w:val="39"/>
    <w:qFormat/>
    <w:pPr>
      <w:widowControl/>
      <w:spacing w:before="480" w:after="0" w:line="276" w:lineRule="auto"/>
      <w:outlineLvl w:val="9"/>
    </w:pPr>
    <w:rPr>
      <w:rFonts w:ascii="Calibri Light" w:hAnsi="Calibri Light"/>
      <w:color w:val="2E74B5"/>
      <w:kern w:val="0"/>
      <w:sz w:val="28"/>
      <w:szCs w:val="28"/>
    </w:rPr>
  </w:style>
  <w:style w:type="paragraph" w:customStyle="1" w:styleId="affffb">
    <w:name w:val="一级无"/>
    <w:basedOn w:val="a6"/>
    <w:qFormat/>
    <w:pPr>
      <w:spacing w:beforeLines="0" w:before="0" w:afterLines="0" w:after="0"/>
    </w:pPr>
    <w:rPr>
      <w:rFonts w:ascii="宋体" w:eastAsia="宋体"/>
    </w:rPr>
  </w:style>
  <w:style w:type="paragraph" w:customStyle="1" w:styleId="affffc">
    <w:name w:val="标准书眉一"/>
    <w:qFormat/>
    <w:pPr>
      <w:jc w:val="both"/>
    </w:pPr>
  </w:style>
  <w:style w:type="paragraph" w:customStyle="1" w:styleId="xl68">
    <w:name w:val="xl68"/>
    <w:basedOn w:val="af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d">
    <w:name w:val="附录三级无"/>
    <w:basedOn w:val="af8"/>
    <w:qFormat/>
    <w:pPr>
      <w:tabs>
        <w:tab w:val="clear" w:pos="360"/>
      </w:tabs>
      <w:spacing w:beforeLines="0" w:before="0" w:afterLines="0" w:after="0"/>
    </w:pPr>
    <w:rPr>
      <w:rFonts w:ascii="宋体" w:eastAsia="宋体"/>
      <w:szCs w:val="21"/>
    </w:rPr>
  </w:style>
  <w:style w:type="paragraph" w:customStyle="1" w:styleId="affffe">
    <w:name w:val="附录公式编号制表符"/>
    <w:basedOn w:val="afd"/>
    <w:next w:val="afff1"/>
    <w:qFormat/>
    <w:pPr>
      <w:widowControl/>
      <w:tabs>
        <w:tab w:val="center" w:pos="4201"/>
        <w:tab w:val="right" w:leader="dot" w:pos="9298"/>
      </w:tabs>
      <w:autoSpaceDE w:val="0"/>
      <w:autoSpaceDN w:val="0"/>
    </w:pPr>
    <w:rPr>
      <w:rFonts w:ascii="宋体"/>
      <w:kern w:val="0"/>
      <w:szCs w:val="20"/>
    </w:rPr>
  </w:style>
  <w:style w:type="paragraph" w:customStyle="1" w:styleId="afffff">
    <w:name w:val="标准标志"/>
    <w:next w:val="afd"/>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0">
    <w:name w:val="封面一致性程度标识"/>
    <w:basedOn w:val="afffff1"/>
    <w:qFormat/>
    <w:pPr>
      <w:framePr w:wrap="around"/>
      <w:spacing w:before="440"/>
    </w:pPr>
    <w:rPr>
      <w:rFonts w:ascii="宋体" w:eastAsia="宋体"/>
    </w:rPr>
  </w:style>
  <w:style w:type="paragraph" w:customStyle="1" w:styleId="afffff1">
    <w:name w:val="封面标准英文名称"/>
    <w:basedOn w:val="afffff2"/>
    <w:qFormat/>
    <w:pPr>
      <w:framePr w:wrap="around"/>
      <w:spacing w:before="370" w:line="400" w:lineRule="exact"/>
    </w:pPr>
    <w:rPr>
      <w:rFonts w:ascii="Times New Roman"/>
      <w:sz w:val="28"/>
      <w:szCs w:val="28"/>
    </w:rPr>
  </w:style>
  <w:style w:type="paragraph" w:customStyle="1" w:styleId="affff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3">
    <w:name w:val="附录二级无"/>
    <w:basedOn w:val="affff7"/>
    <w:qFormat/>
    <w:pPr>
      <w:tabs>
        <w:tab w:val="clear" w:pos="360"/>
      </w:tabs>
      <w:spacing w:beforeLines="0" w:before="0" w:afterLines="0" w:after="0"/>
    </w:pPr>
    <w:rPr>
      <w:rFonts w:ascii="宋体" w:eastAsia="宋体"/>
      <w:szCs w:val="21"/>
    </w:rPr>
  </w:style>
  <w:style w:type="paragraph" w:customStyle="1" w:styleId="af7">
    <w:name w:val="附录章标题"/>
    <w:next w:val="afff1"/>
    <w:qFormat/>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xl67">
    <w:name w:val="xl67"/>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4">
    <w:name w:val="封面正文"/>
    <w:qFormat/>
    <w:pPr>
      <w:jc w:val="both"/>
    </w:pPr>
  </w:style>
  <w:style w:type="paragraph" w:customStyle="1" w:styleId="afa">
    <w:name w:val="附录字母编号列项（一级）"/>
    <w:qFormat/>
    <w:pPr>
      <w:numPr>
        <w:numId w:val="7"/>
      </w:numPr>
    </w:pPr>
    <w:rPr>
      <w:rFonts w:ascii="宋体"/>
      <w:sz w:val="21"/>
    </w:rPr>
  </w:style>
  <w:style w:type="paragraph" w:customStyle="1" w:styleId="afffff5">
    <w:name w:val="其他标准称谓"/>
    <w:next w:val="afd"/>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9">
    <w:name w:val="附录图标号"/>
    <w:basedOn w:val="afd"/>
    <w:qFormat/>
    <w:pPr>
      <w:keepNext/>
      <w:pageBreakBefore/>
      <w:widowControl/>
      <w:numPr>
        <w:numId w:val="8"/>
      </w:numPr>
      <w:spacing w:line="14" w:lineRule="exact"/>
      <w:ind w:left="0" w:firstLine="363"/>
      <w:jc w:val="center"/>
      <w:outlineLvl w:val="0"/>
    </w:pPr>
    <w:rPr>
      <w:color w:val="FFFFFF"/>
    </w:rPr>
  </w:style>
  <w:style w:type="paragraph" w:customStyle="1" w:styleId="ac">
    <w:name w:val="列项●（二级）"/>
    <w:qFormat/>
    <w:pPr>
      <w:numPr>
        <w:ilvl w:val="1"/>
        <w:numId w:val="9"/>
      </w:numPr>
      <w:tabs>
        <w:tab w:val="clear" w:pos="760"/>
        <w:tab w:val="left" w:pos="840"/>
      </w:tabs>
      <w:jc w:val="both"/>
    </w:pPr>
    <w:rPr>
      <w:rFonts w:ascii="宋体"/>
      <w:sz w:val="21"/>
    </w:rPr>
  </w:style>
  <w:style w:type="paragraph" w:customStyle="1" w:styleId="a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5">
    <w:name w:val="样式 黑体 居中 行距: 1.5 倍行距"/>
    <w:basedOn w:val="afd"/>
    <w:pPr>
      <w:ind w:firstLine="200"/>
      <w:jc w:val="center"/>
    </w:pPr>
    <w:rPr>
      <w:rFonts w:eastAsia="黑体" w:cs="宋体"/>
      <w:szCs w:val="20"/>
    </w:rPr>
  </w:style>
  <w:style w:type="paragraph" w:customStyle="1" w:styleId="afffff7">
    <w:name w:val="封面标准文稿类别"/>
    <w:basedOn w:val="afffff0"/>
    <w:qFormat/>
    <w:pPr>
      <w:framePr w:wrap="around"/>
      <w:spacing w:after="160" w:line="240" w:lineRule="auto"/>
    </w:pPr>
    <w:rPr>
      <w:sz w:val="24"/>
    </w:rPr>
  </w:style>
  <w:style w:type="paragraph" w:customStyle="1" w:styleId="afffff8">
    <w:name w:val="附录一级条标题"/>
    <w:basedOn w:val="af7"/>
    <w:next w:val="afff1"/>
    <w:qFormat/>
    <w:pPr>
      <w:numPr>
        <w:ilvl w:val="0"/>
        <w:numId w:val="0"/>
      </w:numPr>
      <w:autoSpaceDN w:val="0"/>
      <w:spacing w:beforeLines="50" w:before="50" w:afterLines="50" w:after="50"/>
      <w:outlineLvl w:val="2"/>
    </w:pPr>
  </w:style>
  <w:style w:type="paragraph" w:customStyle="1" w:styleId="afffff9">
    <w:name w:val="二级无"/>
    <w:basedOn w:val="a7"/>
    <w:qFormat/>
    <w:pPr>
      <w:spacing w:beforeLines="0" w:before="0" w:afterLines="0" w:after="0"/>
    </w:pPr>
    <w:rPr>
      <w:rFonts w:ascii="宋体" w:eastAsia="宋体"/>
    </w:rPr>
  </w:style>
  <w:style w:type="paragraph" w:customStyle="1" w:styleId="22">
    <w:name w:val="封面标准英文名称2"/>
    <w:basedOn w:val="afffff1"/>
    <w:qFormat/>
    <w:pPr>
      <w:framePr w:wrap="around" w:y="4469"/>
    </w:pPr>
  </w:style>
  <w:style w:type="paragraph" w:customStyle="1" w:styleId="af5">
    <w:name w:val="正文表标题"/>
    <w:next w:val="afff1"/>
    <w:qFormat/>
    <w:pPr>
      <w:numPr>
        <w:numId w:val="10"/>
      </w:numPr>
      <w:tabs>
        <w:tab w:val="left" w:pos="360"/>
      </w:tabs>
      <w:spacing w:beforeLines="50" w:before="156" w:afterLines="50" w:after="156"/>
      <w:jc w:val="center"/>
    </w:pPr>
    <w:rPr>
      <w:rFonts w:ascii="黑体" w:eastAsia="黑体"/>
      <w:sz w:val="21"/>
    </w:rPr>
  </w:style>
  <w:style w:type="paragraph" w:customStyle="1" w:styleId="xl69">
    <w:name w:val="xl69"/>
    <w:basedOn w:val="af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fa">
    <w:name w:val="封面标准文稿编辑信息"/>
    <w:basedOn w:val="afffff7"/>
    <w:qFormat/>
    <w:pPr>
      <w:framePr w:wrap="around"/>
      <w:spacing w:before="180" w:line="180" w:lineRule="exact"/>
    </w:pPr>
    <w:rPr>
      <w:sz w:val="21"/>
    </w:rPr>
  </w:style>
  <w:style w:type="paragraph" w:customStyle="1" w:styleId="xl71">
    <w:name w:val="xl71"/>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3">
    <w:name w:val="2"/>
    <w:next w:val="afd"/>
    <w:uiPriority w:val="99"/>
    <w:pPr>
      <w:widowControl w:val="0"/>
      <w:jc w:val="both"/>
    </w:pPr>
    <w:rPr>
      <w:kern w:val="2"/>
      <w:sz w:val="21"/>
      <w:szCs w:val="24"/>
    </w:rPr>
  </w:style>
  <w:style w:type="paragraph" w:customStyle="1" w:styleId="afffffb">
    <w:name w:val="参考文献"/>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c">
    <w:name w:val="标准书脚_奇数页"/>
    <w:qFormat/>
    <w:pPr>
      <w:spacing w:before="120"/>
      <w:ind w:right="198"/>
      <w:jc w:val="right"/>
    </w:pPr>
    <w:rPr>
      <w:rFonts w:ascii="宋体"/>
      <w:sz w:val="18"/>
      <w:szCs w:val="18"/>
    </w:rPr>
  </w:style>
  <w:style w:type="paragraph" w:customStyle="1" w:styleId="afffffd">
    <w:name w:val="正文公式编号制表符"/>
    <w:basedOn w:val="afff1"/>
    <w:next w:val="afff1"/>
    <w:qFormat/>
    <w:pPr>
      <w:ind w:firstLineChars="0" w:firstLine="0"/>
    </w:pPr>
  </w:style>
  <w:style w:type="paragraph" w:customStyle="1" w:styleId="afffffe">
    <w:name w:val="附录一级无"/>
    <w:basedOn w:val="afffff8"/>
    <w:qFormat/>
    <w:pPr>
      <w:tabs>
        <w:tab w:val="clear" w:pos="360"/>
      </w:tabs>
      <w:spacing w:beforeLines="0" w:before="0" w:afterLines="0" w:after="0"/>
    </w:pPr>
    <w:rPr>
      <w:rFonts w:ascii="宋体" w:eastAsia="宋体"/>
      <w:szCs w:val="21"/>
    </w:rPr>
  </w:style>
  <w:style w:type="paragraph" w:customStyle="1" w:styleId="affffff">
    <w:name w:val="示例内容"/>
    <w:qFormat/>
    <w:pPr>
      <w:ind w:firstLineChars="200" w:firstLine="200"/>
    </w:pPr>
    <w:rPr>
      <w:rFonts w:ascii="宋体"/>
      <w:sz w:val="18"/>
      <w:szCs w:val="18"/>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font5">
    <w:name w:val="font5"/>
    <w:basedOn w:val="afd"/>
    <w:pPr>
      <w:widowControl/>
      <w:spacing w:before="100" w:beforeAutospacing="1" w:after="100" w:afterAutospacing="1"/>
      <w:jc w:val="left"/>
    </w:pPr>
    <w:rPr>
      <w:rFonts w:ascii="宋体" w:hAnsi="宋体" w:cs="宋体"/>
      <w:kern w:val="0"/>
      <w:sz w:val="18"/>
      <w:szCs w:val="18"/>
    </w:rPr>
  </w:style>
  <w:style w:type="paragraph" w:customStyle="1" w:styleId="25">
    <w:name w:val="封面一致性程度标识2"/>
    <w:basedOn w:val="afffff0"/>
    <w:qFormat/>
    <w:pPr>
      <w:framePr w:wrap="around" w:y="4469"/>
    </w:pPr>
  </w:style>
  <w:style w:type="paragraph" w:customStyle="1" w:styleId="a3">
    <w:name w:val="图表脚注说明"/>
    <w:basedOn w:val="afd"/>
    <w:qFormat/>
    <w:pPr>
      <w:numPr>
        <w:numId w:val="11"/>
      </w:numPr>
    </w:pPr>
    <w:rPr>
      <w:rFonts w:ascii="宋体"/>
      <w:sz w:val="18"/>
      <w:szCs w:val="18"/>
    </w:rPr>
  </w:style>
  <w:style w:type="paragraph" w:customStyle="1" w:styleId="affffff0">
    <w:name w:val="四级无"/>
    <w:basedOn w:val="affff1"/>
    <w:qFormat/>
    <w:pPr>
      <w:spacing w:beforeLines="0" w:before="0" w:afterLines="0" w:after="0"/>
    </w:pPr>
    <w:rPr>
      <w:rFonts w:ascii="宋体" w:eastAsia="宋体"/>
    </w:rPr>
  </w:style>
  <w:style w:type="paragraph" w:customStyle="1" w:styleId="xl65">
    <w:name w:val="xl65"/>
    <w:basedOn w:val="afd"/>
    <w:pPr>
      <w:widowControl/>
      <w:spacing w:before="100" w:beforeAutospacing="1" w:after="100" w:afterAutospacing="1"/>
      <w:jc w:val="center"/>
      <w:textAlignment w:val="center"/>
    </w:pPr>
    <w:rPr>
      <w:rFonts w:ascii="宋体" w:hAnsi="宋体" w:cs="宋体"/>
      <w:kern w:val="0"/>
      <w:sz w:val="24"/>
    </w:rPr>
  </w:style>
  <w:style w:type="paragraph" w:customStyle="1" w:styleId="affffff1">
    <w:name w:val="三级无"/>
    <w:basedOn w:val="a8"/>
    <w:qFormat/>
    <w:pPr>
      <w:spacing w:beforeLines="0" w:before="0" w:afterLines="0" w:after="0"/>
    </w:pPr>
    <w:rPr>
      <w:rFonts w:ascii="宋体" w:eastAsia="宋体"/>
    </w:rPr>
  </w:style>
  <w:style w:type="paragraph" w:customStyle="1" w:styleId="26">
    <w:name w:val="封面标准文稿类别2"/>
    <w:basedOn w:val="afffff7"/>
    <w:qFormat/>
    <w:pPr>
      <w:framePr w:wrap="around" w:y="4469"/>
    </w:pPr>
  </w:style>
  <w:style w:type="paragraph" w:customStyle="1" w:styleId="affffff2">
    <w:name w:val="其他实施日期"/>
    <w:basedOn w:val="affffff3"/>
    <w:pPr>
      <w:framePr w:wrap="around"/>
    </w:pPr>
  </w:style>
  <w:style w:type="paragraph" w:customStyle="1" w:styleId="affffff3">
    <w:name w:val="实施日期"/>
    <w:basedOn w:val="affffff4"/>
    <w:qFormat/>
    <w:pPr>
      <w:framePr w:wrap="around" w:vAnchor="page" w:hAnchor="text"/>
      <w:jc w:val="right"/>
    </w:pPr>
  </w:style>
  <w:style w:type="paragraph" w:customStyle="1" w:styleId="affffff4">
    <w:name w:val="发布日期"/>
    <w:qFormat/>
    <w:pPr>
      <w:framePr w:w="3997" w:h="471" w:hRule="exact" w:vSpace="181" w:wrap="around" w:hAnchor="page" w:x="7089" w:y="14097" w:anchorLock="1"/>
    </w:pPr>
    <w:rPr>
      <w:rFonts w:eastAsia="黑体"/>
      <w:sz w:val="28"/>
    </w:rPr>
  </w:style>
  <w:style w:type="paragraph" w:customStyle="1" w:styleId="af6">
    <w:name w:val="附录标识"/>
    <w:basedOn w:val="afd"/>
    <w:next w:val="afff1"/>
    <w:qFormat/>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c">
    <w:name w:val="注："/>
    <w:next w:val="afff1"/>
    <w:qFormat/>
    <w:pPr>
      <w:widowControl w:val="0"/>
      <w:numPr>
        <w:numId w:val="12"/>
      </w:numPr>
      <w:autoSpaceDE w:val="0"/>
      <w:autoSpaceDN w:val="0"/>
      <w:jc w:val="both"/>
    </w:pPr>
    <w:rPr>
      <w:rFonts w:ascii="宋体"/>
      <w:sz w:val="18"/>
      <w:szCs w:val="18"/>
    </w:rPr>
  </w:style>
  <w:style w:type="paragraph" w:customStyle="1" w:styleId="aa">
    <w:name w:val="附录图标题"/>
    <w:basedOn w:val="afd"/>
    <w:next w:val="afff1"/>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2">
    <w:name w:val="正文图标题"/>
    <w:next w:val="afff1"/>
    <w:qFormat/>
    <w:pPr>
      <w:numPr>
        <w:numId w:val="13"/>
      </w:numPr>
      <w:spacing w:beforeLines="50" w:before="156" w:afterLines="50" w:after="156"/>
      <w:jc w:val="center"/>
    </w:pPr>
    <w:rPr>
      <w:rFonts w:ascii="黑体" w:eastAsia="黑体"/>
      <w:sz w:val="21"/>
    </w:rPr>
  </w:style>
  <w:style w:type="paragraph" w:customStyle="1" w:styleId="font8">
    <w:name w:val="font8"/>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150">
    <w:name w:val="样式 小四 左 行距: 1.5 倍行距"/>
    <w:basedOn w:val="afd"/>
    <w:pPr>
      <w:snapToGrid w:val="0"/>
      <w:ind w:firstLine="420"/>
      <w:jc w:val="left"/>
    </w:pPr>
    <w:rPr>
      <w:rFonts w:cs="宋体"/>
      <w:szCs w:val="20"/>
    </w:rPr>
  </w:style>
  <w:style w:type="paragraph" w:customStyle="1" w:styleId="affffff5">
    <w:name w:val="注：（正文）"/>
    <w:basedOn w:val="afc"/>
    <w:next w:val="afff1"/>
    <w:qFormat/>
  </w:style>
  <w:style w:type="paragraph" w:customStyle="1" w:styleId="font11">
    <w:name w:val="font11"/>
    <w:basedOn w:val="afd"/>
    <w:pPr>
      <w:widowControl/>
      <w:spacing w:before="100" w:beforeAutospacing="1" w:after="100" w:afterAutospacing="1"/>
      <w:jc w:val="left"/>
    </w:pPr>
    <w:rPr>
      <w:rFonts w:ascii="Arial" w:hAnsi="Arial" w:cs="Arial"/>
      <w:color w:val="333333"/>
      <w:kern w:val="0"/>
      <w:sz w:val="22"/>
      <w:szCs w:val="22"/>
    </w:rPr>
  </w:style>
  <w:style w:type="paragraph" w:customStyle="1" w:styleId="affffff6">
    <w:name w:val="标准书眉_偶数页"/>
    <w:basedOn w:val="affffff7"/>
    <w:next w:val="afd"/>
    <w:qFormat/>
    <w:pPr>
      <w:jc w:val="left"/>
    </w:pPr>
  </w:style>
  <w:style w:type="paragraph" w:customStyle="1" w:styleId="affffff7">
    <w:name w:val="标准书眉_奇数页"/>
    <w:next w:val="afd"/>
    <w:pPr>
      <w:tabs>
        <w:tab w:val="center" w:pos="4154"/>
        <w:tab w:val="right" w:pos="8306"/>
      </w:tabs>
      <w:spacing w:after="220"/>
      <w:jc w:val="right"/>
    </w:pPr>
    <w:rPr>
      <w:rFonts w:ascii="黑体" w:eastAsia="黑体"/>
      <w:sz w:val="21"/>
      <w:szCs w:val="21"/>
    </w:rPr>
  </w:style>
  <w:style w:type="paragraph" w:customStyle="1" w:styleId="xl74">
    <w:name w:val="xl74"/>
    <w:basedOn w:val="af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8">
    <w:name w:val="附录标题"/>
    <w:basedOn w:val="afff1"/>
    <w:next w:val="afff1"/>
    <w:qFormat/>
    <w:pPr>
      <w:ind w:firstLineChars="0" w:firstLine="0"/>
      <w:jc w:val="center"/>
    </w:pPr>
    <w:rPr>
      <w:rFonts w:ascii="黑体" w:eastAsia="黑体"/>
    </w:rPr>
  </w:style>
  <w:style w:type="paragraph" w:customStyle="1" w:styleId="xl73">
    <w:name w:val="xl73"/>
    <w:basedOn w:val="af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9">
    <w:name w:val="附录五级无"/>
    <w:basedOn w:val="affff6"/>
    <w:qFormat/>
    <w:pPr>
      <w:tabs>
        <w:tab w:val="clear" w:pos="360"/>
      </w:tabs>
      <w:spacing w:beforeLines="0" w:before="0" w:afterLines="0" w:after="0"/>
    </w:pPr>
    <w:rPr>
      <w:rFonts w:ascii="宋体" w:eastAsia="宋体"/>
      <w:szCs w:val="21"/>
    </w:rPr>
  </w:style>
  <w:style w:type="paragraph" w:customStyle="1" w:styleId="affffffa">
    <w:name w:val="标准书脚_偶数页"/>
    <w:qFormat/>
    <w:pPr>
      <w:spacing w:before="120"/>
      <w:ind w:left="221"/>
    </w:pPr>
    <w:rPr>
      <w:rFonts w:ascii="宋体"/>
      <w:sz w:val="18"/>
      <w:szCs w:val="18"/>
    </w:rPr>
  </w:style>
  <w:style w:type="paragraph" w:customStyle="1" w:styleId="CharCharChar1Char">
    <w:name w:val="Char Char Char1 Char"/>
    <w:basedOn w:val="afd"/>
  </w:style>
  <w:style w:type="paragraph" w:customStyle="1" w:styleId="affffffb">
    <w:name w:val="기본스타일"/>
    <w:basedOn w:val="afd"/>
    <w:pPr>
      <w:wordWrap w:val="0"/>
      <w:autoSpaceDE w:val="0"/>
      <w:autoSpaceDN w:val="0"/>
    </w:pPr>
    <w:rPr>
      <w:rFonts w:ascii="Arial" w:eastAsia="GulimChe" w:hAnsi="Arial" w:cs="Arial"/>
      <w:sz w:val="20"/>
      <w:szCs w:val="20"/>
    </w:rPr>
  </w:style>
  <w:style w:type="paragraph" w:customStyle="1" w:styleId="a">
    <w:name w:val="注×："/>
    <w:qFormat/>
    <w:pPr>
      <w:widowControl w:val="0"/>
      <w:numPr>
        <w:numId w:val="14"/>
      </w:numPr>
      <w:autoSpaceDE w:val="0"/>
      <w:autoSpaceDN w:val="0"/>
      <w:jc w:val="both"/>
    </w:pPr>
    <w:rPr>
      <w:rFonts w:ascii="宋体"/>
      <w:sz w:val="18"/>
      <w:szCs w:val="18"/>
    </w:rPr>
  </w:style>
  <w:style w:type="paragraph" w:customStyle="1" w:styleId="affffffc">
    <w:name w:val="其他发布日期"/>
    <w:basedOn w:val="affffff4"/>
    <w:pPr>
      <w:framePr w:wrap="around" w:vAnchor="page" w:hAnchor="text" w:x="1419"/>
    </w:pPr>
  </w:style>
  <w:style w:type="paragraph" w:customStyle="1" w:styleId="affffffd">
    <w:name w:val="前言、引言标题"/>
    <w:next w:val="afff1"/>
    <w:qFormat/>
    <w:pPr>
      <w:keepNext/>
      <w:pageBreakBefore/>
      <w:shd w:val="clear" w:color="FFFFFF" w:fill="FFFFFF"/>
      <w:spacing w:before="640" w:after="560"/>
      <w:jc w:val="center"/>
      <w:outlineLvl w:val="0"/>
    </w:pPr>
    <w:rPr>
      <w:rFonts w:ascii="黑体" w:eastAsia="黑体"/>
      <w:sz w:val="32"/>
    </w:rPr>
  </w:style>
  <w:style w:type="paragraph" w:customStyle="1" w:styleId="afff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b">
    <w:name w:val="列项——（一级）"/>
    <w:qFormat/>
    <w:pPr>
      <w:widowControl w:val="0"/>
      <w:numPr>
        <w:numId w:val="9"/>
      </w:numPr>
      <w:jc w:val="both"/>
    </w:pPr>
    <w:rPr>
      <w:rFonts w:ascii="宋体"/>
      <w:sz w:val="21"/>
    </w:rPr>
  </w:style>
  <w:style w:type="paragraph" w:customStyle="1" w:styleId="afffffff">
    <w:name w:val="其他标准标志"/>
    <w:basedOn w:val="afffff"/>
    <w:pPr>
      <w:framePr w:w="6101" w:wrap="around" w:vAnchor="page" w:hAnchor="page" w:x="4673" w:y="942"/>
    </w:pPr>
    <w:rPr>
      <w:w w:val="130"/>
    </w:rPr>
  </w:style>
  <w:style w:type="paragraph" w:customStyle="1" w:styleId="13">
    <w:name w:val="1"/>
    <w:basedOn w:val="afd"/>
    <w:next w:val="afd"/>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52">
    <w:name w:val="标题5"/>
    <w:basedOn w:val="afd"/>
    <w:qFormat/>
    <w:pPr>
      <w:spacing w:beforeLines="50" w:before="156" w:afterLines="50" w:after="156"/>
    </w:pPr>
    <w:rPr>
      <w:rFonts w:ascii="黑体" w:eastAsia="黑体" w:hAnsi="黑体"/>
    </w:rPr>
  </w:style>
  <w:style w:type="paragraph" w:customStyle="1" w:styleId="af">
    <w:name w:val="字母编号列项（一级）"/>
    <w:qFormat/>
    <w:pPr>
      <w:numPr>
        <w:numId w:val="15"/>
      </w:numPr>
      <w:jc w:val="both"/>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af4">
    <w:name w:val="附录表标题"/>
    <w:basedOn w:val="afd"/>
    <w:next w:val="afff1"/>
    <w:qFormat/>
    <w:pPr>
      <w:numPr>
        <w:ilvl w:val="1"/>
        <w:numId w:val="16"/>
      </w:numPr>
      <w:tabs>
        <w:tab w:val="left" w:pos="180"/>
      </w:tabs>
      <w:spacing w:beforeLines="50" w:before="50" w:afterLines="50" w:after="50"/>
      <w:ind w:left="0" w:firstLine="0"/>
      <w:jc w:val="center"/>
    </w:pPr>
    <w:rPr>
      <w:rFonts w:ascii="黑体" w:eastAsia="黑体"/>
      <w:szCs w:val="21"/>
    </w:rPr>
  </w:style>
  <w:style w:type="paragraph" w:styleId="afffffff1">
    <w:name w:val="List Paragraph"/>
    <w:basedOn w:val="afd"/>
    <w:uiPriority w:val="34"/>
    <w:qFormat/>
    <w:pPr>
      <w:ind w:firstLine="420"/>
    </w:pPr>
  </w:style>
  <w:style w:type="paragraph" w:customStyle="1" w:styleId="af1">
    <w:name w:val="编号列项（三级）"/>
    <w:qFormat/>
    <w:pPr>
      <w:numPr>
        <w:ilvl w:val="2"/>
        <w:numId w:val="15"/>
      </w:numPr>
    </w:pPr>
    <w:rPr>
      <w:rFonts w:ascii="宋体"/>
      <w:sz w:val="21"/>
    </w:rPr>
  </w:style>
  <w:style w:type="paragraph" w:customStyle="1" w:styleId="xl75">
    <w:name w:val="xl75"/>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fff2">
    <w:name w:val="附录四级无"/>
    <w:basedOn w:val="af9"/>
    <w:qFormat/>
    <w:pPr>
      <w:tabs>
        <w:tab w:val="clear" w:pos="360"/>
      </w:tabs>
      <w:spacing w:beforeLines="0" w:before="0" w:afterLines="0" w:after="0"/>
    </w:pPr>
    <w:rPr>
      <w:rFonts w:ascii="宋体" w:eastAsia="宋体"/>
      <w:szCs w:val="21"/>
    </w:rPr>
  </w:style>
  <w:style w:type="paragraph" w:customStyle="1" w:styleId="27">
    <w:name w:val="封面标准文稿编辑信息2"/>
    <w:basedOn w:val="afffffa"/>
    <w:qFormat/>
    <w:pPr>
      <w:framePr w:wrap="around" w:y="4469"/>
    </w:pPr>
  </w:style>
  <w:style w:type="paragraph" w:customStyle="1" w:styleId="a1">
    <w:name w:val="示例"/>
    <w:next w:val="affffff"/>
    <w:qFormat/>
    <w:pPr>
      <w:widowControl w:val="0"/>
      <w:numPr>
        <w:numId w:val="17"/>
      </w:numPr>
      <w:jc w:val="both"/>
    </w:pPr>
    <w:rPr>
      <w:rFonts w:ascii="宋体"/>
      <w:sz w:val="18"/>
      <w:szCs w:val="18"/>
    </w:rPr>
  </w:style>
  <w:style w:type="paragraph" w:customStyle="1" w:styleId="afb">
    <w:name w:val="附录数字编号列项（二级）"/>
    <w:qFormat/>
    <w:pPr>
      <w:numPr>
        <w:ilvl w:val="1"/>
        <w:numId w:val="7"/>
      </w:numPr>
    </w:pPr>
    <w:rPr>
      <w:rFonts w:ascii="宋体"/>
      <w:sz w:val="21"/>
    </w:rPr>
  </w:style>
  <w:style w:type="paragraph" w:customStyle="1" w:styleId="font10">
    <w:name w:val="font1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3">
    <w:name w:val="列项说明数字编号"/>
    <w:qFormat/>
    <w:pPr>
      <w:ind w:leftChars="400" w:left="600" w:hangingChars="200" w:hanging="200"/>
    </w:pPr>
    <w:rPr>
      <w:rFonts w:ascii="宋体"/>
      <w:sz w:val="21"/>
    </w:rPr>
  </w:style>
  <w:style w:type="paragraph" w:customStyle="1" w:styleId="ad">
    <w:name w:val="列项◆（三级）"/>
    <w:basedOn w:val="afd"/>
    <w:qFormat/>
    <w:pPr>
      <w:numPr>
        <w:ilvl w:val="2"/>
        <w:numId w:val="9"/>
      </w:numPr>
    </w:pPr>
    <w:rPr>
      <w:rFonts w:ascii="宋体"/>
      <w:szCs w:val="21"/>
    </w:rPr>
  </w:style>
  <w:style w:type="paragraph" w:customStyle="1" w:styleId="afffffff4">
    <w:name w:val="终结线"/>
    <w:basedOn w:val="afd"/>
    <w:qFormat/>
    <w:pPr>
      <w:framePr w:hSpace="181" w:vSpace="181" w:wrap="around" w:vAnchor="text" w:hAnchor="margin" w:xAlign="center" w:y="285"/>
    </w:pPr>
  </w:style>
  <w:style w:type="paragraph" w:customStyle="1" w:styleId="28">
    <w:name w:val="封面标准名称2"/>
    <w:basedOn w:val="afffff2"/>
    <w:qFormat/>
    <w:pPr>
      <w:framePr w:wrap="around" w:y="4469"/>
      <w:spacing w:beforeLines="630" w:before="630"/>
    </w:pPr>
  </w:style>
  <w:style w:type="paragraph" w:customStyle="1" w:styleId="af3">
    <w:name w:val="附录表标号"/>
    <w:basedOn w:val="afd"/>
    <w:next w:val="afff1"/>
    <w:qFormat/>
    <w:pPr>
      <w:numPr>
        <w:numId w:val="16"/>
      </w:numPr>
      <w:tabs>
        <w:tab w:val="clear" w:pos="0"/>
      </w:tabs>
      <w:spacing w:line="14" w:lineRule="exact"/>
      <w:ind w:left="811" w:hanging="448"/>
      <w:jc w:val="center"/>
      <w:outlineLvl w:val="0"/>
    </w:pPr>
    <w:rPr>
      <w:color w:val="FFFFFF"/>
    </w:rPr>
  </w:style>
  <w:style w:type="paragraph" w:customStyle="1" w:styleId="font0">
    <w:name w:val="font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5">
    <w:name w:val="条文脚注"/>
    <w:basedOn w:val="ae"/>
    <w:qFormat/>
    <w:pPr>
      <w:numPr>
        <w:numId w:val="0"/>
      </w:numPr>
      <w:jc w:val="both"/>
    </w:pPr>
  </w:style>
  <w:style w:type="paragraph" w:styleId="afffffff6">
    <w:name w:val="No Spacing"/>
    <w:uiPriority w:val="1"/>
    <w:qFormat/>
    <w:pPr>
      <w:widowControl w:val="0"/>
      <w:ind w:firstLineChars="200" w:firstLine="200"/>
      <w:jc w:val="both"/>
    </w:pPr>
    <w:rPr>
      <w:rFonts w:ascii="Calibri" w:hAnsi="Calibri"/>
      <w:kern w:val="2"/>
      <w:sz w:val="21"/>
      <w:szCs w:val="22"/>
    </w:rPr>
  </w:style>
  <w:style w:type="paragraph" w:customStyle="1" w:styleId="afffffff7">
    <w:name w:val="图的脚注"/>
    <w:next w:val="afff1"/>
    <w:qFormat/>
    <w:pPr>
      <w:widowControl w:val="0"/>
      <w:ind w:leftChars="200" w:left="840" w:hangingChars="200" w:hanging="420"/>
      <w:jc w:val="both"/>
    </w:pPr>
    <w:rPr>
      <w:rFonts w:ascii="宋体"/>
      <w:sz w:val="18"/>
    </w:rPr>
  </w:style>
  <w:style w:type="paragraph" w:customStyle="1" w:styleId="afffffff8">
    <w:name w:val="目次、标准名称标题"/>
    <w:basedOn w:val="afd"/>
    <w:next w:val="af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9">
    <w:name w:val="附录标题 2"/>
    <w:basedOn w:val="2"/>
    <w:qFormat/>
    <w:pPr>
      <w:ind w:firstLineChars="200" w:firstLine="200"/>
    </w:pPr>
    <w:rPr>
      <w:rFonts w:ascii="Times New Roman" w:hAnsi="Times New Roman"/>
    </w:rPr>
  </w:style>
  <w:style w:type="paragraph" w:customStyle="1" w:styleId="af0">
    <w:name w:val="数字编号列项（二级）"/>
    <w:qFormat/>
    <w:pPr>
      <w:numPr>
        <w:ilvl w:val="1"/>
        <w:numId w:val="15"/>
      </w:numPr>
      <w:jc w:val="both"/>
    </w:pPr>
    <w:rPr>
      <w:rFonts w:ascii="宋体"/>
      <w:sz w:val="21"/>
    </w:rPr>
  </w:style>
  <w:style w:type="paragraph" w:customStyle="1" w:styleId="font9">
    <w:name w:val="font9"/>
    <w:basedOn w:val="afd"/>
    <w:pPr>
      <w:widowControl/>
      <w:spacing w:before="100" w:beforeAutospacing="1" w:after="100" w:afterAutospacing="1"/>
      <w:jc w:val="left"/>
    </w:pPr>
    <w:rPr>
      <w:rFonts w:ascii="Arial" w:hAnsi="Arial" w:cs="Arial"/>
      <w:color w:val="333333"/>
      <w:kern w:val="0"/>
      <w:sz w:val="20"/>
      <w:szCs w:val="20"/>
    </w:rPr>
  </w:style>
  <w:style w:type="paragraph" w:customStyle="1" w:styleId="afffffff9">
    <w:name w:val="标准称谓"/>
    <w:next w:val="afd"/>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a">
    <w:name w:val="示例后文字"/>
    <w:basedOn w:val="afff1"/>
    <w:next w:val="afff1"/>
    <w:qFormat/>
    <w:pPr>
      <w:ind w:firstLine="360"/>
    </w:pPr>
    <w:rPr>
      <w:sz w:val="18"/>
    </w:rPr>
  </w:style>
  <w:style w:type="paragraph" w:customStyle="1" w:styleId="Definition">
    <w:name w:val="Definition"/>
    <w:basedOn w:val="afd"/>
    <w:next w:val="afd"/>
    <w:pPr>
      <w:widowControl/>
      <w:spacing w:after="240" w:line="230" w:lineRule="atLeast"/>
    </w:pPr>
    <w:rPr>
      <w:rFonts w:ascii="Arial" w:hAnsi="Arial"/>
      <w:kern w:val="0"/>
      <w:sz w:val="20"/>
      <w:szCs w:val="20"/>
      <w:lang w:val="en-GB" w:eastAsia="en-US"/>
    </w:rPr>
  </w:style>
  <w:style w:type="paragraph" w:customStyle="1" w:styleId="xl66">
    <w:name w:val="xl66"/>
    <w:basedOn w:val="afd"/>
    <w:pPr>
      <w:widowControl/>
      <w:spacing w:before="100" w:beforeAutospacing="1" w:after="100" w:afterAutospacing="1"/>
      <w:jc w:val="center"/>
      <w:textAlignment w:val="center"/>
    </w:pPr>
    <w:rPr>
      <w:rFonts w:ascii="宋体" w:hAnsi="宋体" w:cs="宋体"/>
      <w:b/>
      <w:bCs/>
      <w:kern w:val="0"/>
      <w:sz w:val="24"/>
    </w:rPr>
  </w:style>
  <w:style w:type="paragraph" w:customStyle="1" w:styleId="xl70">
    <w:name w:val="xl70"/>
    <w:basedOn w:val="af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paragraph" w:customStyle="1" w:styleId="font7">
    <w:name w:val="font7"/>
    <w:basedOn w:val="afd"/>
    <w:pPr>
      <w:widowControl/>
      <w:spacing w:before="100" w:beforeAutospacing="1" w:after="100" w:afterAutospacing="1"/>
      <w:jc w:val="left"/>
    </w:pPr>
    <w:rPr>
      <w:rFonts w:ascii="宋体" w:hAnsi="宋体" w:cs="宋体"/>
      <w:color w:val="000000"/>
      <w:kern w:val="0"/>
      <w:sz w:val="22"/>
      <w:szCs w:val="22"/>
    </w:rPr>
  </w:style>
  <w:style w:type="table" w:customStyle="1" w:styleId="16">
    <w:name w:val="网格型1"/>
    <w:basedOn w:val="aff"/>
    <w:uiPriority w:val="5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Pr>
      <w:rFonts w:ascii="Calibri" w:hAnsi="Calibri"/>
      <w:kern w:val="2"/>
      <w:sz w:val="21"/>
      <w:szCs w:val="22"/>
    </w:rPr>
    <w:tblPr>
      <w:tblCellMar>
        <w:top w:w="0" w:type="dxa"/>
        <w:left w:w="0" w:type="dxa"/>
        <w:bottom w:w="0" w:type="dxa"/>
        <w:right w:w="0" w:type="dxa"/>
      </w:tblCellMar>
    </w:tblPr>
  </w:style>
  <w:style w:type="table" w:customStyle="1" w:styleId="TableGrid1">
    <w:name w:val="TableGrid1"/>
    <w:rPr>
      <w:rFonts w:ascii="Calibri" w:hAnsi="Calibri"/>
      <w:kern w:val="2"/>
      <w:sz w:val="21"/>
      <w:szCs w:val="22"/>
    </w:rPr>
    <w:tblPr>
      <w:tblCellMar>
        <w:top w:w="0" w:type="dxa"/>
        <w:left w:w="0" w:type="dxa"/>
        <w:bottom w:w="0" w:type="dxa"/>
        <w:right w:w="0" w:type="dxa"/>
      </w:tblCellMar>
    </w:tblPr>
  </w:style>
  <w:style w:type="table" w:customStyle="1" w:styleId="TableGrid2">
    <w:name w:val="TableGrid2"/>
    <w:rPr>
      <w:rFonts w:ascii="Calibri" w:hAnsi="Calibri"/>
      <w:kern w:val="2"/>
      <w:sz w:val="21"/>
      <w:szCs w:val="22"/>
    </w:rPr>
    <w:tblPr>
      <w:tblCellMar>
        <w:top w:w="0" w:type="dxa"/>
        <w:left w:w="0" w:type="dxa"/>
        <w:bottom w:w="0" w:type="dxa"/>
        <w:right w:w="0" w:type="dxa"/>
      </w:tblCellMar>
    </w:tblPr>
  </w:style>
  <w:style w:type="table" w:customStyle="1" w:styleId="TableGrid3">
    <w:name w:val="TableGrid3"/>
    <w:rPr>
      <w:rFonts w:ascii="Calibri" w:hAnsi="Calibri"/>
      <w:kern w:val="2"/>
      <w:sz w:val="21"/>
      <w:szCs w:val="22"/>
    </w:rPr>
    <w:tblPr>
      <w:tblCellMar>
        <w:top w:w="0" w:type="dxa"/>
        <w:left w:w="0" w:type="dxa"/>
        <w:bottom w:w="0" w:type="dxa"/>
        <w:right w:w="0" w:type="dxa"/>
      </w:tblCellMar>
    </w:tblPr>
  </w:style>
  <w:style w:type="paragraph" w:customStyle="1" w:styleId="afffffffb">
    <w:name w:val="！本文正文"/>
    <w:basedOn w:val="afd"/>
    <w:qFormat/>
    <w:pPr>
      <w:ind w:firstLine="560"/>
    </w:pPr>
    <w:rPr>
      <w:szCs w:val="22"/>
    </w:rPr>
  </w:style>
  <w:style w:type="paragraph" w:customStyle="1" w:styleId="afffffffc">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ffffffc"/>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2208</Words>
  <Characters>12588</Characters>
  <Application>Microsoft Office Word</Application>
  <DocSecurity>0</DocSecurity>
  <Lines>104</Lines>
  <Paragraphs>29</Paragraphs>
  <ScaleCrop>false</ScaleCrop>
  <Company>MC SYSTEM</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陆小蓉</dc:creator>
  <cp:lastModifiedBy>于慧雯</cp:lastModifiedBy>
  <cp:revision>5</cp:revision>
  <cp:lastPrinted>2014-12-03T00:16:00Z</cp:lastPrinted>
  <dcterms:created xsi:type="dcterms:W3CDTF">2024-07-16T02:50:00Z</dcterms:created>
  <dcterms:modified xsi:type="dcterms:W3CDTF">2024-09-29T08:12:00Z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0C52F9DCEF6E4B08925362BF9D0A4D36_13</vt:lpwstr>
  </property>
</Properties>
</file>